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footer2.xml" ContentType="application/vnd.openxmlformats-officedocument.wordprocessingml.footer+xml"/>
  <Override PartName="/word/endnotes.xml" ContentType="application/vnd.openxmlformats-officedocument.wordprocessingml.endnotes+xml"/>
  <Default Extension="bin" ContentType="application/vnd.openxmlformats-officedocument.wordprocessingml.printerSettings"/>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05F7" w:rsidRPr="00B0699B" w:rsidRDefault="00F805F7" w:rsidP="008D6017">
      <w:pPr>
        <w:widowControl w:val="0"/>
        <w:autoSpaceDE w:val="0"/>
        <w:autoSpaceDN w:val="0"/>
        <w:adjustRightInd w:val="0"/>
        <w:spacing w:after="240"/>
        <w:jc w:val="both"/>
        <w:rPr>
          <w:rFonts w:cs="Helvetica"/>
          <w:color w:val="6D6D6D"/>
          <w:sz w:val="22"/>
          <w:szCs w:val="22"/>
        </w:rPr>
      </w:pPr>
      <w:bookmarkStart w:id="0" w:name="OLE_LINK1"/>
      <w:r w:rsidRPr="00B0699B">
        <w:rPr>
          <w:b/>
          <w:noProof/>
        </w:rPr>
        <w:drawing>
          <wp:anchor distT="0" distB="0" distL="114300" distR="114300" simplePos="0" relativeHeight="251659264" behindDoc="0" locked="0" layoutInCell="1" allowOverlap="1">
            <wp:simplePos x="0" y="0"/>
            <wp:positionH relativeFrom="column">
              <wp:posOffset>461645</wp:posOffset>
            </wp:positionH>
            <wp:positionV relativeFrom="paragraph">
              <wp:posOffset>-114300</wp:posOffset>
            </wp:positionV>
            <wp:extent cx="5713095" cy="1826260"/>
            <wp:effectExtent l="25400" t="0" r="1905" b="0"/>
            <wp:wrapTight wrapText="bothSides">
              <wp:wrapPolygon edited="0">
                <wp:start x="-96" y="0"/>
                <wp:lineTo x="-96" y="21330"/>
                <wp:lineTo x="21607" y="21330"/>
                <wp:lineTo x="21607" y="0"/>
                <wp:lineTo x="-96"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_ecran.png"/>
                    <pic:cNvPicPr/>
                  </pic:nvPicPr>
                  <pic:blipFill rotWithShape="1">
                    <a:blip r:embed="rId7">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r="11741"/>
                    <a:stretch/>
                  </pic:blipFill>
                  <pic:spPr bwMode="auto">
                    <a:xfrm>
                      <a:off x="0" y="0"/>
                      <a:ext cx="5713095" cy="1826260"/>
                    </a:xfrm>
                    <a:prstGeom prst="rect">
                      <a:avLst/>
                    </a:prstGeom>
                    <a:ln>
                      <a:noFill/>
                    </a:ln>
                    <a:extLst>
                      <a:ext uri="{53640926-AAD7-44D8-BBD7-CCE9431645EC}">
                        <a14:shadowObscured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p="http://schemas.openxmlformats.org/drawingml/2006/wordprocessingDrawing" xmlns:wp14="http://schemas.microsoft.com/office/word/2010/wordprocessingDrawing" xmlns:m="http://schemas.openxmlformats.org/officeDocument/2006/math" xmlns:r="http://schemas.openxmlformats.org/officeDocument/2006/relationships" xmlns:mc="http://schemas.openxmlformats.org/markup-compatibility/2006" xmlns:wpc="http://schemas.microsoft.com/office/word/2010/wordprocessingCanvas"/>
                      </a:ext>
                    </a:extLst>
                  </pic:spPr>
                </pic:pic>
              </a:graphicData>
            </a:graphic>
          </wp:anchor>
        </w:drawing>
      </w:r>
    </w:p>
    <w:p w:rsidR="00F805F7" w:rsidRPr="00B0699B" w:rsidRDefault="00F805F7" w:rsidP="008D6017">
      <w:pPr>
        <w:pStyle w:val="Titre1"/>
        <w:shd w:val="clear" w:color="auto" w:fill="CCCCCC"/>
        <w:spacing w:after="240"/>
        <w:jc w:val="both"/>
        <w:rPr>
          <w:rFonts w:asciiTheme="minorHAnsi" w:hAnsiTheme="minorHAnsi"/>
          <w:color w:val="2B9F97"/>
          <w:sz w:val="40"/>
          <w:szCs w:val="40"/>
        </w:rPr>
      </w:pPr>
      <w:r w:rsidRPr="00B0699B">
        <w:rPr>
          <w:rFonts w:asciiTheme="minorHAnsi" w:hAnsiTheme="minorHAnsi"/>
          <w:color w:val="2B9F97"/>
          <w:sz w:val="40"/>
          <w:szCs w:val="40"/>
        </w:rPr>
        <w:t>NEWSLETTER n°</w:t>
      </w:r>
      <w:r w:rsidR="00B0699B" w:rsidRPr="00B0699B">
        <w:rPr>
          <w:rFonts w:asciiTheme="minorHAnsi" w:hAnsiTheme="minorHAnsi"/>
          <w:color w:val="2B9F97"/>
          <w:sz w:val="40"/>
          <w:szCs w:val="40"/>
        </w:rPr>
        <w:t>2</w:t>
      </w:r>
      <w:r w:rsidR="00360F99" w:rsidRPr="00B0699B">
        <w:rPr>
          <w:rFonts w:asciiTheme="minorHAnsi" w:hAnsiTheme="minorHAnsi"/>
          <w:color w:val="2B9F97"/>
          <w:sz w:val="40"/>
          <w:szCs w:val="40"/>
        </w:rPr>
        <w:t xml:space="preserve"> – </w:t>
      </w:r>
      <w:r w:rsidR="00B0699B" w:rsidRPr="00B0699B">
        <w:rPr>
          <w:rFonts w:asciiTheme="minorHAnsi" w:hAnsiTheme="minorHAnsi"/>
          <w:color w:val="2B9F97"/>
          <w:sz w:val="40"/>
          <w:szCs w:val="40"/>
        </w:rPr>
        <w:t>1</w:t>
      </w:r>
      <w:r w:rsidR="00360F99" w:rsidRPr="00B0699B">
        <w:rPr>
          <w:rFonts w:asciiTheme="minorHAnsi" w:hAnsiTheme="minorHAnsi"/>
          <w:color w:val="2B9F97"/>
          <w:sz w:val="40"/>
          <w:szCs w:val="40"/>
          <w:vertAlign w:val="superscript"/>
        </w:rPr>
        <w:t>e</w:t>
      </w:r>
      <w:r w:rsidR="00360F99" w:rsidRPr="00B0699B">
        <w:rPr>
          <w:rFonts w:asciiTheme="minorHAnsi" w:hAnsiTheme="minorHAnsi"/>
          <w:color w:val="2B9F97"/>
          <w:sz w:val="40"/>
          <w:szCs w:val="40"/>
        </w:rPr>
        <w:t xml:space="preserve"> trimestre 201</w:t>
      </w:r>
      <w:r w:rsidR="00B0699B" w:rsidRPr="00B0699B">
        <w:rPr>
          <w:rFonts w:asciiTheme="minorHAnsi" w:hAnsiTheme="minorHAnsi"/>
          <w:color w:val="2B9F97"/>
          <w:sz w:val="40"/>
          <w:szCs w:val="40"/>
        </w:rPr>
        <w:t>7</w:t>
      </w:r>
    </w:p>
    <w:p w:rsidR="00F805F7" w:rsidRPr="00B0699B" w:rsidRDefault="000F42D8" w:rsidP="008D6017">
      <w:pPr>
        <w:spacing w:after="240"/>
        <w:jc w:val="both"/>
        <w:rPr>
          <w:b/>
        </w:rPr>
      </w:pPr>
      <w:r>
        <w:rPr>
          <w:b/>
        </w:rPr>
        <w:t xml:space="preserve">Au sommaire </w:t>
      </w:r>
      <w:r w:rsidR="00F805F7" w:rsidRPr="00B0699B">
        <w:rPr>
          <w:b/>
        </w:rPr>
        <w:t>de ce numéro :</w:t>
      </w:r>
    </w:p>
    <w:p w:rsidR="00FA1154" w:rsidRPr="00FA1154" w:rsidRDefault="00CD1D49" w:rsidP="008D6017">
      <w:pPr>
        <w:pStyle w:val="Paragraphedeliste"/>
        <w:numPr>
          <w:ilvl w:val="0"/>
          <w:numId w:val="1"/>
        </w:numPr>
        <w:spacing w:after="240"/>
        <w:contextualSpacing w:val="0"/>
        <w:jc w:val="both"/>
        <w:rPr>
          <w:b/>
        </w:rPr>
      </w:pPr>
      <w:r w:rsidRPr="004F312B">
        <w:rPr>
          <w:b/>
        </w:rPr>
        <w:t xml:space="preserve">Le point sur </w:t>
      </w:r>
      <w:r w:rsidR="00FA1154" w:rsidRPr="004F312B">
        <w:rPr>
          <w:b/>
        </w:rPr>
        <w:t>des</w:t>
      </w:r>
      <w:r w:rsidRPr="004F312B">
        <w:rPr>
          <w:b/>
        </w:rPr>
        <w:t xml:space="preserve"> sujet</w:t>
      </w:r>
      <w:r w:rsidR="00FA1154" w:rsidRPr="004F312B">
        <w:rPr>
          <w:b/>
        </w:rPr>
        <w:t>s</w:t>
      </w:r>
      <w:r w:rsidRPr="004F312B">
        <w:rPr>
          <w:b/>
        </w:rPr>
        <w:t xml:space="preserve"> qui fâche</w:t>
      </w:r>
      <w:r w:rsidR="00FA1154" w:rsidRPr="004F312B">
        <w:rPr>
          <w:b/>
        </w:rPr>
        <w:t>nt</w:t>
      </w:r>
      <w:r w:rsidR="00C65086">
        <w:rPr>
          <w:b/>
        </w:rPr>
        <w:t xml:space="preserve"> (Partie 1)</w:t>
      </w:r>
      <w:r w:rsidR="004F312B">
        <w:rPr>
          <w:b/>
        </w:rPr>
        <w:t>:</w:t>
      </w:r>
    </w:p>
    <w:p w:rsidR="00360F99" w:rsidRPr="00CD1D49" w:rsidRDefault="00E945A6" w:rsidP="008D6017">
      <w:pPr>
        <w:pStyle w:val="Paragraphedeliste"/>
        <w:numPr>
          <w:ilvl w:val="1"/>
          <w:numId w:val="1"/>
        </w:numPr>
        <w:spacing w:after="240"/>
        <w:contextualSpacing w:val="0"/>
        <w:jc w:val="both"/>
        <w:rPr>
          <w:b/>
        </w:rPr>
      </w:pPr>
      <w:r w:rsidRPr="000F42D8">
        <w:rPr>
          <w:b/>
          <w:i/>
        </w:rPr>
        <w:t>Réduire sa consommation de gluten: mode ou option salutaire</w:t>
      </w:r>
      <w:r w:rsidR="000F42D8" w:rsidRPr="000F42D8">
        <w:rPr>
          <w:b/>
          <w:i/>
        </w:rPr>
        <w:t> ? C</w:t>
      </w:r>
      <w:r w:rsidR="00CD1D49" w:rsidRPr="000F42D8">
        <w:rPr>
          <w:b/>
          <w:i/>
        </w:rPr>
        <w:t xml:space="preserve">e qu’en disent </w:t>
      </w:r>
      <w:r w:rsidR="00FE0F38" w:rsidRPr="000F42D8">
        <w:rPr>
          <w:b/>
          <w:i/>
        </w:rPr>
        <w:t>d</w:t>
      </w:r>
      <w:r w:rsidR="00CD1D49" w:rsidRPr="000F42D8">
        <w:rPr>
          <w:b/>
          <w:i/>
        </w:rPr>
        <w:t>es études scientifiques récentes</w:t>
      </w:r>
      <w:r w:rsidR="00CD1D49" w:rsidRPr="00CD1D49">
        <w:rPr>
          <w:b/>
        </w:rPr>
        <w:t xml:space="preserve"> - </w:t>
      </w:r>
      <w:r w:rsidR="00B0699B" w:rsidRPr="00CD1D49">
        <w:rPr>
          <w:b/>
        </w:rPr>
        <w:t xml:space="preserve">Hélène </w:t>
      </w:r>
      <w:proofErr w:type="spellStart"/>
      <w:r w:rsidR="00B0699B" w:rsidRPr="00CD1D49">
        <w:rPr>
          <w:b/>
        </w:rPr>
        <w:t>Wacquier</w:t>
      </w:r>
      <w:proofErr w:type="spellEnd"/>
    </w:p>
    <w:p w:rsidR="00F805F7" w:rsidRDefault="00FA1154" w:rsidP="008D6017">
      <w:pPr>
        <w:pStyle w:val="Paragraphedeliste"/>
        <w:numPr>
          <w:ilvl w:val="1"/>
          <w:numId w:val="1"/>
        </w:numPr>
        <w:spacing w:after="240"/>
        <w:contextualSpacing w:val="0"/>
        <w:jc w:val="both"/>
        <w:rPr>
          <w:b/>
        </w:rPr>
      </w:pPr>
      <w:r w:rsidRPr="000F42D8">
        <w:rPr>
          <w:b/>
          <w:i/>
        </w:rPr>
        <w:t>Quid des produits laitiers ?</w:t>
      </w:r>
      <w:r>
        <w:rPr>
          <w:b/>
        </w:rPr>
        <w:t xml:space="preserve"> – Pierre Van </w:t>
      </w:r>
      <w:proofErr w:type="spellStart"/>
      <w:r>
        <w:rPr>
          <w:b/>
        </w:rPr>
        <w:t>Vlodorp</w:t>
      </w:r>
      <w:proofErr w:type="spellEnd"/>
    </w:p>
    <w:p w:rsidR="00FA1154" w:rsidRDefault="00FA1154" w:rsidP="008D6017">
      <w:pPr>
        <w:pStyle w:val="Paragraphedeliste"/>
        <w:numPr>
          <w:ilvl w:val="0"/>
          <w:numId w:val="1"/>
        </w:numPr>
        <w:spacing w:after="240"/>
        <w:contextualSpacing w:val="0"/>
        <w:jc w:val="both"/>
        <w:rPr>
          <w:b/>
        </w:rPr>
      </w:pPr>
      <w:r>
        <w:rPr>
          <w:b/>
        </w:rPr>
        <w:t>Agenda</w:t>
      </w:r>
      <w:bookmarkStart w:id="1" w:name="_GoBack"/>
      <w:bookmarkEnd w:id="1"/>
    </w:p>
    <w:p w:rsidR="00527267" w:rsidRPr="00527267" w:rsidRDefault="00527267" w:rsidP="008D6017">
      <w:pPr>
        <w:spacing w:after="240"/>
        <w:jc w:val="both"/>
        <w:rPr>
          <w:b/>
        </w:rPr>
      </w:pPr>
    </w:p>
    <w:p w:rsidR="004F312B" w:rsidRPr="004F312B" w:rsidRDefault="004F312B" w:rsidP="008D6017">
      <w:pPr>
        <w:pStyle w:val="Titre2"/>
        <w:keepNext w:val="0"/>
        <w:keepLines w:val="0"/>
        <w:shd w:val="clear" w:color="auto" w:fill="29AC9E"/>
        <w:jc w:val="both"/>
        <w:rPr>
          <w:rFonts w:asciiTheme="minorHAnsi" w:hAnsiTheme="minorHAnsi"/>
          <w:caps/>
          <w:color w:val="D9D9D9" w:themeColor="background1" w:themeShade="D9"/>
          <w:sz w:val="36"/>
          <w:szCs w:val="36"/>
        </w:rPr>
      </w:pPr>
      <w:r w:rsidRPr="004F312B">
        <w:rPr>
          <w:rFonts w:asciiTheme="minorHAnsi" w:hAnsiTheme="minorHAnsi"/>
          <w:caps/>
          <w:color w:val="D9D9D9" w:themeColor="background1" w:themeShade="D9"/>
          <w:sz w:val="36"/>
          <w:szCs w:val="36"/>
        </w:rPr>
        <w:t>Le point sur des sujets qui fâchent</w:t>
      </w:r>
      <w:r w:rsidR="00C65086">
        <w:rPr>
          <w:rFonts w:asciiTheme="minorHAnsi" w:hAnsiTheme="minorHAnsi"/>
          <w:caps/>
          <w:color w:val="D9D9D9" w:themeColor="background1" w:themeShade="D9"/>
          <w:sz w:val="36"/>
          <w:szCs w:val="36"/>
        </w:rPr>
        <w:t xml:space="preserve"> (partie 1)</w:t>
      </w:r>
    </w:p>
    <w:p w:rsidR="004F312B" w:rsidRPr="004F312B" w:rsidRDefault="004F312B" w:rsidP="008D6017">
      <w:pPr>
        <w:jc w:val="both"/>
        <w:rPr>
          <w:b/>
          <w:sz w:val="22"/>
        </w:rPr>
      </w:pPr>
    </w:p>
    <w:p w:rsidR="00FA1154" w:rsidRPr="00FA1154" w:rsidRDefault="00FA1154" w:rsidP="008D6017">
      <w:pPr>
        <w:pStyle w:val="Titre1"/>
        <w:keepNext w:val="0"/>
        <w:keepLines w:val="0"/>
        <w:pBdr>
          <w:bottom w:val="none" w:sz="0" w:space="0" w:color="auto"/>
        </w:pBdr>
        <w:shd w:val="clear" w:color="auto" w:fill="CCCCCC"/>
        <w:spacing w:before="240" w:after="240"/>
        <w:jc w:val="both"/>
        <w:rPr>
          <w:rFonts w:asciiTheme="minorHAnsi" w:hAnsiTheme="minorHAnsi"/>
          <w:color w:val="2B9F97"/>
          <w:sz w:val="40"/>
          <w:szCs w:val="40"/>
        </w:rPr>
      </w:pPr>
      <w:r w:rsidRPr="00FA1154">
        <w:rPr>
          <w:rFonts w:asciiTheme="minorHAnsi" w:hAnsiTheme="minorHAnsi"/>
          <w:color w:val="2B9F97"/>
          <w:sz w:val="40"/>
          <w:szCs w:val="40"/>
        </w:rPr>
        <w:t>Réduire sa consommation de gluten: m</w:t>
      </w:r>
      <w:r>
        <w:rPr>
          <w:rFonts w:asciiTheme="minorHAnsi" w:hAnsiTheme="minorHAnsi"/>
          <w:color w:val="2B9F97"/>
          <w:sz w:val="40"/>
          <w:szCs w:val="40"/>
        </w:rPr>
        <w:t>ode ou option salutaire</w:t>
      </w:r>
      <w:r w:rsidRPr="00FA1154">
        <w:rPr>
          <w:rFonts w:asciiTheme="minorHAnsi" w:hAnsiTheme="minorHAnsi"/>
          <w:color w:val="2B9F97"/>
          <w:sz w:val="40"/>
          <w:szCs w:val="40"/>
        </w:rPr>
        <w:t>?</w:t>
      </w:r>
    </w:p>
    <w:p w:rsidR="00610F09" w:rsidRDefault="00630EC2" w:rsidP="008D6017">
      <w:pPr>
        <w:spacing w:before="100" w:beforeAutospacing="1" w:after="240"/>
        <w:jc w:val="both"/>
        <w:outlineLvl w:val="0"/>
        <w:rPr>
          <w:rFonts w:eastAsia="Times New Roman" w:cs="Arial"/>
          <w:i/>
          <w:color w:val="3B3B3B"/>
          <w:kern w:val="36"/>
          <w:lang w:eastAsia="fr-BE"/>
        </w:rPr>
      </w:pPr>
      <w:r>
        <w:rPr>
          <w:rFonts w:eastAsia="Times New Roman" w:cs="Arial"/>
          <w:i/>
          <w:color w:val="3B3B3B"/>
          <w:kern w:val="36"/>
          <w:lang w:eastAsia="fr-BE"/>
        </w:rPr>
        <w:t xml:space="preserve">        </w:t>
      </w:r>
      <w:r>
        <w:rPr>
          <w:rFonts w:eastAsia="Times New Roman" w:cs="Arial"/>
          <w:i/>
          <w:color w:val="3B3B3B"/>
          <w:kern w:val="36"/>
          <w:lang w:eastAsia="fr-BE"/>
        </w:rPr>
        <w:tab/>
      </w:r>
      <w:r>
        <w:rPr>
          <w:rFonts w:eastAsia="Times New Roman" w:cs="Arial"/>
          <w:i/>
          <w:color w:val="3B3B3B"/>
          <w:kern w:val="36"/>
          <w:lang w:eastAsia="fr-BE"/>
        </w:rPr>
        <w:tab/>
      </w:r>
      <w:r>
        <w:rPr>
          <w:rFonts w:eastAsia="Times New Roman" w:cs="Arial"/>
          <w:i/>
          <w:color w:val="3B3B3B"/>
          <w:kern w:val="36"/>
          <w:lang w:eastAsia="fr-BE"/>
        </w:rPr>
        <w:tab/>
      </w:r>
      <w:r>
        <w:rPr>
          <w:rFonts w:eastAsia="Times New Roman" w:cs="Arial"/>
          <w:i/>
          <w:color w:val="3B3B3B"/>
          <w:kern w:val="36"/>
          <w:lang w:eastAsia="fr-BE"/>
        </w:rPr>
        <w:tab/>
      </w:r>
      <w:r w:rsidR="00610F09">
        <w:rPr>
          <w:rFonts w:eastAsia="Times New Roman" w:cs="Arial"/>
          <w:i/>
          <w:noProof/>
          <w:color w:val="3B3B3B"/>
          <w:kern w:val="36"/>
        </w:rPr>
        <w:drawing>
          <wp:inline distT="0" distB="0" distL="0" distR="0">
            <wp:extent cx="2698750" cy="1790700"/>
            <wp:effectExtent l="0" t="0" r="635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ten-free2.jpg"/>
                    <pic:cNvPicPr/>
                  </pic:nvPicPr>
                  <pic:blipFill>
                    <a:blip r:embed="rId8">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2698750" cy="1790700"/>
                    </a:xfrm>
                    <a:prstGeom prst="rect">
                      <a:avLst/>
                    </a:prstGeom>
                  </pic:spPr>
                </pic:pic>
              </a:graphicData>
            </a:graphic>
          </wp:inline>
        </w:drawing>
      </w:r>
    </w:p>
    <w:p w:rsidR="00B0699B" w:rsidRPr="00B0699B" w:rsidRDefault="00B0699B" w:rsidP="008D6017">
      <w:pPr>
        <w:spacing w:before="100" w:beforeAutospacing="1" w:after="240"/>
        <w:jc w:val="both"/>
        <w:outlineLvl w:val="0"/>
        <w:rPr>
          <w:rFonts w:eastAsia="Times New Roman" w:cs="Arial"/>
          <w:i/>
          <w:color w:val="3B3B3B"/>
          <w:kern w:val="36"/>
          <w:lang w:eastAsia="fr-BE"/>
        </w:rPr>
      </w:pPr>
      <w:r w:rsidRPr="00B0699B">
        <w:rPr>
          <w:rFonts w:eastAsia="Times New Roman" w:cs="Arial"/>
          <w:i/>
          <w:color w:val="3B3B3B"/>
          <w:kern w:val="36"/>
          <w:lang w:eastAsia="fr-BE"/>
        </w:rPr>
        <w:t>Beaucoup d’acteurs du monde médical et des médias s’insurgent contre ce qu’ils appellent « la mode du sans gluten ».</w:t>
      </w:r>
    </w:p>
    <w:p w:rsidR="00B0699B" w:rsidRPr="00B0699B" w:rsidRDefault="00B0699B" w:rsidP="008D6017">
      <w:pPr>
        <w:spacing w:before="100" w:beforeAutospacing="1" w:after="240"/>
        <w:jc w:val="both"/>
        <w:outlineLvl w:val="0"/>
        <w:rPr>
          <w:rFonts w:eastAsia="Times New Roman" w:cs="Arial"/>
          <w:i/>
          <w:color w:val="3B3B3B"/>
          <w:kern w:val="36"/>
          <w:lang w:eastAsia="fr-BE"/>
        </w:rPr>
      </w:pPr>
      <w:r w:rsidRPr="00B0699B">
        <w:rPr>
          <w:rFonts w:eastAsia="Times New Roman" w:cs="Arial"/>
          <w:i/>
          <w:color w:val="3B3B3B"/>
          <w:kern w:val="36"/>
          <w:lang w:eastAsia="fr-BE"/>
        </w:rPr>
        <w:t xml:space="preserve">A côté des patients objectivement diagnostiqués « cœliaques », qui constituent aujourd’hui entre 0,5 et 1% de la population, les personnes touchées par une « hypersensibilité </w:t>
      </w:r>
      <w:proofErr w:type="spellStart"/>
      <w:r w:rsidRPr="00B0699B">
        <w:rPr>
          <w:rFonts w:eastAsia="Times New Roman" w:cs="Arial"/>
          <w:i/>
          <w:color w:val="3B3B3B"/>
          <w:kern w:val="36"/>
          <w:lang w:eastAsia="fr-BE"/>
        </w:rPr>
        <w:t>non-cœliaque</w:t>
      </w:r>
      <w:proofErr w:type="spellEnd"/>
      <w:r w:rsidRPr="00B0699B">
        <w:rPr>
          <w:rFonts w:eastAsia="Times New Roman" w:cs="Arial"/>
          <w:i/>
          <w:color w:val="3B3B3B"/>
          <w:kern w:val="36"/>
          <w:lang w:eastAsia="fr-BE"/>
        </w:rPr>
        <w:t xml:space="preserve"> au gluten » sont souvent taxé</w:t>
      </w:r>
      <w:r w:rsidR="00242715">
        <w:rPr>
          <w:rFonts w:eastAsia="Times New Roman" w:cs="Arial"/>
          <w:i/>
          <w:color w:val="3B3B3B"/>
          <w:kern w:val="36"/>
          <w:lang w:eastAsia="fr-BE"/>
        </w:rPr>
        <w:t>e</w:t>
      </w:r>
      <w:r w:rsidRPr="00B0699B">
        <w:rPr>
          <w:rFonts w:eastAsia="Times New Roman" w:cs="Arial"/>
          <w:i/>
          <w:color w:val="3B3B3B"/>
          <w:kern w:val="36"/>
          <w:lang w:eastAsia="fr-BE"/>
        </w:rPr>
        <w:t xml:space="preserve">s de malades imaginaires car cette hypersensibilité est encore difficile à objectiver par les tests sanguins classiques. </w:t>
      </w:r>
    </w:p>
    <w:p w:rsidR="00B0699B" w:rsidRPr="00B0699B" w:rsidRDefault="00B0699B" w:rsidP="008D6017">
      <w:pPr>
        <w:spacing w:before="100" w:beforeAutospacing="1" w:after="240"/>
        <w:jc w:val="both"/>
        <w:outlineLvl w:val="0"/>
        <w:rPr>
          <w:rFonts w:eastAsia="Times New Roman" w:cs="Arial"/>
          <w:i/>
          <w:color w:val="3B3B3B"/>
          <w:kern w:val="36"/>
          <w:lang w:val="fr-CH" w:eastAsia="fr-BE"/>
        </w:rPr>
      </w:pPr>
      <w:r w:rsidRPr="00B0699B">
        <w:rPr>
          <w:rFonts w:eastAsia="Times New Roman" w:cs="Arial"/>
          <w:i/>
          <w:color w:val="3B3B3B"/>
          <w:kern w:val="36"/>
          <w:lang w:eastAsia="fr-BE"/>
        </w:rPr>
        <w:t xml:space="preserve">Et pourtant, un nombre croissant de personnes choisissent de bannir le gluten de </w:t>
      </w:r>
      <w:r w:rsidRPr="00B0699B">
        <w:rPr>
          <w:rFonts w:eastAsia="Times New Roman" w:cs="Arial"/>
          <w:i/>
          <w:color w:val="3B3B3B"/>
          <w:kern w:val="36"/>
          <w:lang w:val="fr-CH" w:eastAsia="fr-BE"/>
        </w:rPr>
        <w:t xml:space="preserve">leur alimentation </w:t>
      </w:r>
      <w:r w:rsidR="006C13D5">
        <w:rPr>
          <w:rFonts w:eastAsia="Times New Roman" w:cs="Arial"/>
          <w:i/>
          <w:color w:val="3B3B3B"/>
          <w:kern w:val="36"/>
          <w:lang w:val="fr-CH" w:eastAsia="fr-BE"/>
        </w:rPr>
        <w:t xml:space="preserve">et </w:t>
      </w:r>
      <w:r w:rsidRPr="00B0699B">
        <w:rPr>
          <w:rFonts w:eastAsia="Times New Roman" w:cs="Arial"/>
          <w:i/>
          <w:color w:val="3B3B3B"/>
          <w:kern w:val="36"/>
          <w:lang w:val="fr-CH" w:eastAsia="fr-BE"/>
        </w:rPr>
        <w:t>affirment s’en porter beaucoup mieux !</w:t>
      </w:r>
      <w:r w:rsidR="006C13D5">
        <w:rPr>
          <w:rFonts w:eastAsia="Times New Roman" w:cs="Arial"/>
          <w:i/>
          <w:color w:val="3B3B3B"/>
          <w:kern w:val="36"/>
          <w:lang w:val="fr-CH" w:eastAsia="fr-BE"/>
        </w:rPr>
        <w:t xml:space="preserve"> Pourquoi mettre leur parole en doute ?</w:t>
      </w:r>
    </w:p>
    <w:p w:rsidR="00B0699B" w:rsidRPr="00B0699B" w:rsidRDefault="00B0699B" w:rsidP="008D6017">
      <w:pPr>
        <w:spacing w:before="100" w:beforeAutospacing="1" w:after="240"/>
        <w:jc w:val="both"/>
        <w:outlineLvl w:val="0"/>
        <w:rPr>
          <w:rFonts w:eastAsia="Times New Roman" w:cs="Arial"/>
          <w:i/>
          <w:color w:val="3B3B3B"/>
          <w:kern w:val="36"/>
          <w:lang w:val="fr-CH" w:eastAsia="fr-BE"/>
        </w:rPr>
      </w:pPr>
      <w:r w:rsidRPr="00B0699B">
        <w:rPr>
          <w:rFonts w:eastAsia="Times New Roman" w:cs="Arial"/>
          <w:i/>
          <w:color w:val="3B3B3B"/>
          <w:kern w:val="36"/>
          <w:lang w:val="fr-CH" w:eastAsia="fr-BE"/>
        </w:rPr>
        <w:t xml:space="preserve">Les travaux de Fasano (Fasano 2011, Hollon et al. 2015) apportent un éclairage scientifique précis au sujet </w:t>
      </w:r>
      <w:r w:rsidR="002071F2">
        <w:rPr>
          <w:rFonts w:eastAsia="Times New Roman" w:cs="Arial"/>
          <w:i/>
          <w:color w:val="3B3B3B"/>
          <w:kern w:val="36"/>
          <w:lang w:val="fr-CH" w:eastAsia="fr-BE"/>
        </w:rPr>
        <w:t>des effets de la consommation de</w:t>
      </w:r>
      <w:r w:rsidRPr="00B0699B">
        <w:rPr>
          <w:rFonts w:eastAsia="Times New Roman" w:cs="Arial"/>
          <w:i/>
          <w:color w:val="3B3B3B"/>
          <w:kern w:val="36"/>
          <w:lang w:val="fr-CH" w:eastAsia="fr-BE"/>
        </w:rPr>
        <w:t xml:space="preserve"> gluten. Ces études récentes mettent concrètement en lumière l’agression chronique de l’intestin </w:t>
      </w:r>
      <w:r w:rsidR="00144017" w:rsidRPr="00B0699B">
        <w:rPr>
          <w:rFonts w:eastAsia="Times New Roman" w:cs="Arial"/>
          <w:i/>
          <w:color w:val="3B3B3B"/>
          <w:kern w:val="36"/>
          <w:lang w:val="fr-CH" w:eastAsia="fr-BE"/>
        </w:rPr>
        <w:t xml:space="preserve">induite par la consommation de gluten </w:t>
      </w:r>
      <w:r w:rsidRPr="00B0699B">
        <w:rPr>
          <w:rFonts w:eastAsia="Times New Roman" w:cs="Arial"/>
          <w:i/>
          <w:color w:val="3B3B3B"/>
          <w:kern w:val="36"/>
          <w:lang w:val="fr-CH" w:eastAsia="fr-BE"/>
        </w:rPr>
        <w:t xml:space="preserve">et l’hyperperméabilité de la </w:t>
      </w:r>
      <w:r w:rsidR="00144017">
        <w:rPr>
          <w:rFonts w:eastAsia="Times New Roman" w:cs="Arial"/>
          <w:i/>
          <w:color w:val="3B3B3B"/>
          <w:kern w:val="36"/>
          <w:lang w:val="fr-CH" w:eastAsia="fr-BE"/>
        </w:rPr>
        <w:t>barrière</w:t>
      </w:r>
      <w:r w:rsidRPr="00B0699B">
        <w:rPr>
          <w:rFonts w:eastAsia="Times New Roman" w:cs="Arial"/>
          <w:i/>
          <w:color w:val="3B3B3B"/>
          <w:kern w:val="36"/>
          <w:lang w:val="fr-CH" w:eastAsia="fr-BE"/>
        </w:rPr>
        <w:t xml:space="preserve"> intestinale</w:t>
      </w:r>
      <w:r w:rsidR="00144017">
        <w:rPr>
          <w:rFonts w:eastAsia="Times New Roman" w:cs="Arial"/>
          <w:i/>
          <w:color w:val="3B3B3B"/>
          <w:kern w:val="36"/>
          <w:lang w:val="fr-CH" w:eastAsia="fr-BE"/>
        </w:rPr>
        <w:t xml:space="preserve"> </w:t>
      </w:r>
      <w:r w:rsidR="007552C7">
        <w:rPr>
          <w:rFonts w:eastAsia="Times New Roman" w:cs="Arial"/>
          <w:i/>
          <w:color w:val="3B3B3B"/>
          <w:kern w:val="36"/>
          <w:lang w:val="fr-CH" w:eastAsia="fr-BE"/>
        </w:rPr>
        <w:t>qu’elle induit</w:t>
      </w:r>
      <w:r w:rsidRPr="00B0699B">
        <w:rPr>
          <w:rFonts w:eastAsia="Times New Roman" w:cs="Arial"/>
          <w:i/>
          <w:color w:val="3B3B3B"/>
          <w:kern w:val="36"/>
          <w:lang w:val="fr-CH" w:eastAsia="fr-BE"/>
        </w:rPr>
        <w:t xml:space="preserve">, </w:t>
      </w:r>
      <w:r w:rsidRPr="007552C7">
        <w:rPr>
          <w:rFonts w:eastAsia="Times New Roman" w:cs="Arial"/>
          <w:b/>
          <w:i/>
          <w:color w:val="3B3B3B"/>
          <w:kern w:val="36"/>
          <w:lang w:val="fr-CH" w:eastAsia="fr-BE"/>
        </w:rPr>
        <w:t>pas seulement chez les malades cœliaques, mais chez tout consommateur</w:t>
      </w:r>
      <w:r w:rsidRPr="00B0699B">
        <w:rPr>
          <w:rFonts w:eastAsia="Times New Roman" w:cs="Arial"/>
          <w:i/>
          <w:color w:val="3B3B3B"/>
          <w:kern w:val="36"/>
          <w:lang w:val="fr-CH" w:eastAsia="fr-BE"/>
        </w:rPr>
        <w:t>.</w:t>
      </w:r>
    </w:p>
    <w:p w:rsidR="00B66F31" w:rsidRDefault="00B0699B" w:rsidP="008D6017">
      <w:pPr>
        <w:spacing w:before="100" w:beforeAutospacing="1" w:after="240"/>
        <w:jc w:val="both"/>
        <w:outlineLvl w:val="0"/>
        <w:rPr>
          <w:rFonts w:eastAsia="Times New Roman" w:cs="Arial"/>
          <w:i/>
          <w:color w:val="3B3B3B"/>
          <w:kern w:val="36"/>
          <w:lang w:eastAsia="fr-BE"/>
        </w:rPr>
      </w:pPr>
      <w:r w:rsidRPr="00B0699B">
        <w:rPr>
          <w:rFonts w:eastAsia="Times New Roman" w:cs="Arial"/>
          <w:i/>
          <w:color w:val="3B3B3B"/>
          <w:kern w:val="36"/>
          <w:lang w:eastAsia="fr-BE"/>
        </w:rPr>
        <w:t>Ces découvertes méritent d’être soulignées car il est largement admis que l’hyperperméabilité intestinale fait le lit de nombreuses pathologies chroniques et inflammatoires.</w:t>
      </w:r>
    </w:p>
    <w:p w:rsidR="00B0699B" w:rsidRPr="00B0699B" w:rsidRDefault="00B0699B" w:rsidP="008D6017">
      <w:pPr>
        <w:spacing w:before="480" w:after="240"/>
        <w:jc w:val="both"/>
        <w:rPr>
          <w:rFonts w:eastAsiaTheme="majorEastAsia" w:cstheme="majorBidi"/>
          <w:b/>
          <w:bCs/>
          <w:caps/>
          <w:color w:val="2B9F97"/>
          <w:sz w:val="32"/>
          <w:szCs w:val="32"/>
        </w:rPr>
      </w:pPr>
      <w:r w:rsidRPr="00B0699B">
        <w:rPr>
          <w:rFonts w:eastAsiaTheme="majorEastAsia" w:cstheme="majorBidi"/>
          <w:b/>
          <w:bCs/>
          <w:caps/>
          <w:color w:val="2B9F97"/>
          <w:sz w:val="32"/>
          <w:szCs w:val="32"/>
        </w:rPr>
        <w:t>La fonction de perméabilité sélective de la barrière intestinale</w:t>
      </w:r>
    </w:p>
    <w:p w:rsidR="00B0699B" w:rsidRPr="00B0699B" w:rsidRDefault="00B0699B" w:rsidP="008D6017">
      <w:pPr>
        <w:widowControl w:val="0"/>
        <w:autoSpaceDE w:val="0"/>
        <w:autoSpaceDN w:val="0"/>
        <w:adjustRightInd w:val="0"/>
        <w:spacing w:after="240"/>
        <w:jc w:val="both"/>
        <w:rPr>
          <w:rFonts w:cs="Helvetica"/>
          <w:color w:val="2D2D2D"/>
          <w:u w:color="2D2D2D"/>
        </w:rPr>
      </w:pPr>
      <w:r w:rsidRPr="00B0699B">
        <w:rPr>
          <w:rFonts w:cs="Helvetica"/>
          <w:color w:val="2D2D2D"/>
          <w:u w:color="2D2D2D"/>
        </w:rPr>
        <w:t xml:space="preserve">La muqueuse intestinale, qui représente </w:t>
      </w:r>
      <w:r w:rsidR="00242715">
        <w:rPr>
          <w:rFonts w:cs="Helvetica"/>
          <w:color w:val="2D2D2D"/>
          <w:u w:color="2D2D2D"/>
        </w:rPr>
        <w:t xml:space="preserve">une </w:t>
      </w:r>
      <w:r w:rsidR="00242715" w:rsidRPr="00B0699B">
        <w:rPr>
          <w:rFonts w:cs="Helvetica"/>
          <w:color w:val="2D2D2D"/>
          <w:u w:color="2D2D2D"/>
        </w:rPr>
        <w:t xml:space="preserve">surface </w:t>
      </w:r>
      <w:r w:rsidR="00242715">
        <w:rPr>
          <w:rFonts w:cs="Helvetica"/>
          <w:color w:val="2D2D2D"/>
          <w:u w:color="2D2D2D"/>
        </w:rPr>
        <w:t xml:space="preserve">de </w:t>
      </w:r>
      <w:r w:rsidRPr="00B0699B">
        <w:rPr>
          <w:rFonts w:cs="Helvetica"/>
          <w:color w:val="2D2D2D"/>
          <w:u w:color="2D2D2D"/>
        </w:rPr>
        <w:t>plus de 300 m</w:t>
      </w:r>
      <w:r w:rsidR="00242715">
        <w:rPr>
          <w:rFonts w:cs="Helvetica"/>
          <w:color w:val="2D2D2D"/>
          <w:u w:color="2D2D2D"/>
        </w:rPr>
        <w:t>²</w:t>
      </w:r>
      <w:r w:rsidR="00511707">
        <w:rPr>
          <w:rFonts w:cs="Helvetica"/>
          <w:color w:val="2D2D2D"/>
          <w:u w:color="2D2D2D"/>
        </w:rPr>
        <w:t>,</w:t>
      </w:r>
      <w:r w:rsidR="00242715">
        <w:rPr>
          <w:rFonts w:cs="Helvetica"/>
          <w:color w:val="2D2D2D"/>
          <w:u w:color="2D2D2D"/>
        </w:rPr>
        <w:t xml:space="preserve"> </w:t>
      </w:r>
      <w:r w:rsidRPr="00B0699B">
        <w:rPr>
          <w:rFonts w:cs="Helvetica"/>
          <w:color w:val="2D2D2D"/>
          <w:u w:color="2D2D2D"/>
        </w:rPr>
        <w:t>doit à la fois permettre l’assimilation de l’eau, des vitamines et des nutriments nécessaires au bon fonctionnement de l’organisme et empêcher le passage des agents pathogènes, des toxines et des protéines alimentaires non digérées. Elle exerce donc une fonction de perméabilité sélective.</w:t>
      </w:r>
    </w:p>
    <w:p w:rsidR="00B0699B" w:rsidRPr="00B0699B" w:rsidRDefault="00B0699B" w:rsidP="008D6017">
      <w:pPr>
        <w:widowControl w:val="0"/>
        <w:autoSpaceDE w:val="0"/>
        <w:autoSpaceDN w:val="0"/>
        <w:adjustRightInd w:val="0"/>
        <w:spacing w:after="240"/>
        <w:jc w:val="both"/>
        <w:rPr>
          <w:rFonts w:cs="Helvetica"/>
          <w:color w:val="2D2D2D"/>
          <w:u w:color="2D2D2D"/>
        </w:rPr>
      </w:pPr>
      <w:r w:rsidRPr="00B0699B">
        <w:rPr>
          <w:rFonts w:cs="Helvetica"/>
          <w:color w:val="2D2D2D"/>
          <w:u w:color="2D2D2D"/>
        </w:rPr>
        <w:t xml:space="preserve">Les échanges au niveau de </w:t>
      </w:r>
      <w:r w:rsidR="00BF7658">
        <w:rPr>
          <w:rFonts w:cs="Helvetica"/>
          <w:color w:val="2D2D2D"/>
          <w:u w:color="2D2D2D"/>
        </w:rPr>
        <w:t xml:space="preserve">la </w:t>
      </w:r>
      <w:r w:rsidRPr="00B0699B">
        <w:rPr>
          <w:rFonts w:cs="Helvetica"/>
          <w:color w:val="2D2D2D"/>
          <w:u w:color="2D2D2D"/>
        </w:rPr>
        <w:t>barrière intestinale s’opèrent selon deux mécanismes principaux</w:t>
      </w:r>
      <w:r w:rsidR="00BF7658">
        <w:rPr>
          <w:rFonts w:cs="Helvetica"/>
          <w:color w:val="2D2D2D"/>
          <w:u w:color="2D2D2D"/>
        </w:rPr>
        <w:t xml:space="preserve"> </w:t>
      </w:r>
      <w:r w:rsidRPr="00B0699B">
        <w:rPr>
          <w:rFonts w:cs="Helvetica"/>
          <w:color w:val="2D2D2D"/>
          <w:u w:color="2D2D2D"/>
        </w:rPr>
        <w:t xml:space="preserve">: la voie </w:t>
      </w:r>
      <w:proofErr w:type="spellStart"/>
      <w:r w:rsidRPr="00B0699B">
        <w:rPr>
          <w:rFonts w:cs="Helvetica"/>
          <w:color w:val="2D2D2D"/>
          <w:u w:color="2D2D2D"/>
        </w:rPr>
        <w:t>transcellulaire</w:t>
      </w:r>
      <w:proofErr w:type="spellEnd"/>
      <w:r w:rsidRPr="00B0699B">
        <w:rPr>
          <w:rFonts w:cs="Helvetica"/>
          <w:color w:val="2D2D2D"/>
          <w:u w:color="2D2D2D"/>
        </w:rPr>
        <w:t xml:space="preserve"> et la voie </w:t>
      </w:r>
      <w:proofErr w:type="spellStart"/>
      <w:r w:rsidRPr="00B0699B">
        <w:rPr>
          <w:rFonts w:cs="Helvetica"/>
          <w:color w:val="2D2D2D"/>
          <w:u w:color="2D2D2D"/>
        </w:rPr>
        <w:t>paracellulaire</w:t>
      </w:r>
      <w:proofErr w:type="spellEnd"/>
      <w:r w:rsidRPr="00B0699B">
        <w:rPr>
          <w:rFonts w:cs="Helvetica"/>
          <w:color w:val="2D2D2D"/>
          <w:u w:color="2D2D2D"/>
        </w:rPr>
        <w:t>.</w:t>
      </w:r>
    </w:p>
    <w:p w:rsidR="00B0699B" w:rsidRPr="00B929B7" w:rsidRDefault="00B0699B" w:rsidP="008D6017">
      <w:pPr>
        <w:spacing w:before="360" w:after="240"/>
        <w:jc w:val="both"/>
        <w:rPr>
          <w:rFonts w:eastAsiaTheme="majorEastAsia" w:cstheme="majorBidi"/>
          <w:b/>
          <w:bCs/>
          <w:caps/>
          <w:color w:val="2B9F97"/>
          <w:sz w:val="22"/>
          <w:szCs w:val="32"/>
        </w:rPr>
      </w:pPr>
      <w:r w:rsidRPr="00B929B7">
        <w:rPr>
          <w:rFonts w:eastAsiaTheme="majorEastAsia" w:cstheme="majorBidi"/>
          <w:b/>
          <w:bCs/>
          <w:caps/>
          <w:color w:val="2B9F97"/>
          <w:sz w:val="22"/>
          <w:szCs w:val="32"/>
        </w:rPr>
        <w:t xml:space="preserve">La voie </w:t>
      </w:r>
      <w:proofErr w:type="spellStart"/>
      <w:r w:rsidRPr="00B929B7">
        <w:rPr>
          <w:rFonts w:eastAsiaTheme="majorEastAsia" w:cstheme="majorBidi"/>
          <w:b/>
          <w:bCs/>
          <w:caps/>
          <w:color w:val="2B9F97"/>
          <w:sz w:val="22"/>
          <w:szCs w:val="32"/>
        </w:rPr>
        <w:t>transcellulaire</w:t>
      </w:r>
      <w:proofErr w:type="spellEnd"/>
    </w:p>
    <w:p w:rsidR="00B0699B" w:rsidRPr="00B0699B" w:rsidRDefault="00B0699B" w:rsidP="008D6017">
      <w:pPr>
        <w:spacing w:before="100" w:beforeAutospacing="1" w:after="240"/>
        <w:jc w:val="both"/>
        <w:outlineLvl w:val="0"/>
        <w:rPr>
          <w:rFonts w:eastAsia="Times New Roman" w:cs="Arial"/>
          <w:color w:val="3B3B3B"/>
          <w:kern w:val="36"/>
          <w:lang w:eastAsia="fr-BE"/>
        </w:rPr>
      </w:pPr>
      <w:r w:rsidRPr="00B0699B">
        <w:rPr>
          <w:rFonts w:eastAsia="Times New Roman" w:cs="Arial"/>
          <w:color w:val="3B3B3B"/>
          <w:kern w:val="36"/>
          <w:lang w:eastAsia="fr-BE"/>
        </w:rPr>
        <w:t>C’est la voie principale d’absorption des nutriments digérés (protéines, lipides, glucides). Ils traversent les cellules épithéliales de l’intestin dont les lysosomes finissent de dégrader les protéines immunologiquement actives en petits peptides inactifs. Ils rejoignent ensuite les circulations sanguine ou lymphatique. La traversée des membranes se fait par transport passif (gradient de concentration) ou actif (nécessitant de l’ATP), avec l’aide ou non de protéines de transport spécifiques. Cette voie, connue de longue date, a longtemps été considérée comme la seule voie de passage possible pour ces nutriments.</w:t>
      </w:r>
    </w:p>
    <w:p w:rsidR="00B0699B" w:rsidRPr="00B929B7" w:rsidRDefault="00B0699B" w:rsidP="008D6017">
      <w:pPr>
        <w:spacing w:before="360" w:after="240"/>
        <w:jc w:val="both"/>
        <w:rPr>
          <w:rFonts w:eastAsiaTheme="majorEastAsia" w:cstheme="majorBidi"/>
          <w:b/>
          <w:bCs/>
          <w:caps/>
          <w:color w:val="2B9F97"/>
          <w:sz w:val="22"/>
          <w:szCs w:val="32"/>
        </w:rPr>
      </w:pPr>
      <w:r w:rsidRPr="00B929B7">
        <w:rPr>
          <w:rFonts w:eastAsiaTheme="majorEastAsia" w:cstheme="majorBidi"/>
          <w:b/>
          <w:bCs/>
          <w:caps/>
          <w:color w:val="2B9F97"/>
          <w:sz w:val="22"/>
          <w:szCs w:val="32"/>
        </w:rPr>
        <w:t xml:space="preserve">La voie </w:t>
      </w:r>
      <w:proofErr w:type="spellStart"/>
      <w:r w:rsidRPr="00B929B7">
        <w:rPr>
          <w:rFonts w:eastAsiaTheme="majorEastAsia" w:cstheme="majorBidi"/>
          <w:b/>
          <w:bCs/>
          <w:caps/>
          <w:color w:val="2B9F97"/>
          <w:sz w:val="22"/>
          <w:szCs w:val="32"/>
        </w:rPr>
        <w:t>paracellulaire</w:t>
      </w:r>
      <w:proofErr w:type="spellEnd"/>
    </w:p>
    <w:p w:rsidR="00B0699B" w:rsidRPr="00B0699B" w:rsidRDefault="00B0699B" w:rsidP="008D6017">
      <w:pPr>
        <w:spacing w:before="100" w:beforeAutospacing="1" w:after="240"/>
        <w:jc w:val="both"/>
        <w:outlineLvl w:val="0"/>
        <w:rPr>
          <w:rFonts w:eastAsia="Times New Roman" w:cs="Arial"/>
          <w:color w:val="3B3B3B"/>
          <w:kern w:val="36"/>
          <w:lang w:eastAsia="fr-BE"/>
        </w:rPr>
      </w:pPr>
      <w:r w:rsidRPr="00B0699B">
        <w:rPr>
          <w:rFonts w:eastAsia="Times New Roman" w:cs="Arial"/>
          <w:color w:val="3B3B3B"/>
          <w:kern w:val="36"/>
          <w:lang w:eastAsia="fr-BE"/>
        </w:rPr>
        <w:t xml:space="preserve">Il existe un autre système permettant aux nutriments de traverser la barrière intestinale. Au lieu de traverser les cellules épithéliales, les nutriments les contournent en utilisant les passages intercellulaires régulés par les jonctions serrées. Dans certaines conditions bien précises, cette voie dite </w:t>
      </w:r>
      <w:proofErr w:type="spellStart"/>
      <w:r w:rsidRPr="00B0699B">
        <w:rPr>
          <w:rFonts w:eastAsia="Times New Roman" w:cs="Arial"/>
          <w:color w:val="3B3B3B"/>
          <w:kern w:val="36"/>
          <w:lang w:eastAsia="fr-BE"/>
        </w:rPr>
        <w:t>paracellulaire</w:t>
      </w:r>
      <w:proofErr w:type="spellEnd"/>
      <w:r w:rsidRPr="00B0699B">
        <w:rPr>
          <w:rFonts w:eastAsia="Times New Roman" w:cs="Arial"/>
          <w:color w:val="3B3B3B"/>
          <w:kern w:val="36"/>
          <w:lang w:eastAsia="fr-BE"/>
        </w:rPr>
        <w:t xml:space="preserve"> permet le passage d'eau et de petites molécules hydrophiles entre les jonctions ser</w:t>
      </w:r>
      <w:r w:rsidR="00242715">
        <w:rPr>
          <w:rFonts w:eastAsia="Times New Roman" w:cs="Arial"/>
          <w:color w:val="3B3B3B"/>
          <w:kern w:val="36"/>
          <w:lang w:eastAsia="fr-BE"/>
        </w:rPr>
        <w:t>rées des cellules épithéliales.</w:t>
      </w:r>
    </w:p>
    <w:p w:rsidR="00B0699B" w:rsidRDefault="00B0699B" w:rsidP="008D6017">
      <w:pPr>
        <w:spacing w:before="100" w:beforeAutospacing="1" w:after="240"/>
        <w:jc w:val="both"/>
        <w:outlineLvl w:val="0"/>
        <w:rPr>
          <w:rFonts w:eastAsia="Times New Roman" w:cs="Arial"/>
          <w:color w:val="3B3B3B"/>
          <w:kern w:val="36"/>
          <w:lang w:eastAsia="fr-BE"/>
        </w:rPr>
      </w:pPr>
      <w:r w:rsidRPr="00B0699B">
        <w:rPr>
          <w:rFonts w:eastAsia="Times New Roman" w:cs="Arial"/>
          <w:color w:val="3B3B3B"/>
          <w:kern w:val="36"/>
          <w:lang w:eastAsia="fr-BE"/>
        </w:rPr>
        <w:t>Ces jonctions serrées doivent être dynamiques et capables de produire des réponses rapides et coordonnées en fonction des besoins et contraintes exercées sur la paroi intestinale. De ce fait, elles sont soumises à un système de régulation complexe qui orchestre le degré d’assemblage du réseau de protéines transmembranaires. Lorsque ce système fonctionne de manière physiologique, il assure l’étanchéité de la barrière intestinale et empêche les grosses molécules, les corps étrangers et les polluants de l’environnement de rejoindre la circulation sanguine.</w:t>
      </w:r>
    </w:p>
    <w:p w:rsidR="00A9566D" w:rsidRPr="00B0699B" w:rsidRDefault="00A9566D" w:rsidP="008D6017">
      <w:pPr>
        <w:keepNext/>
        <w:spacing w:before="480" w:after="240"/>
        <w:jc w:val="both"/>
        <w:rPr>
          <w:rFonts w:eastAsiaTheme="majorEastAsia" w:cstheme="majorBidi"/>
          <w:b/>
          <w:bCs/>
          <w:caps/>
          <w:color w:val="2B9F97"/>
          <w:sz w:val="32"/>
          <w:szCs w:val="32"/>
        </w:rPr>
      </w:pPr>
      <w:r>
        <w:rPr>
          <w:rFonts w:eastAsiaTheme="majorEastAsia" w:cstheme="majorBidi"/>
          <w:b/>
          <w:bCs/>
          <w:caps/>
          <w:color w:val="2B9F97"/>
          <w:sz w:val="32"/>
          <w:szCs w:val="32"/>
        </w:rPr>
        <w:t xml:space="preserve">ROLES ET FONCTIONNEMENT DE LA </w:t>
      </w:r>
      <w:proofErr w:type="spellStart"/>
      <w:r>
        <w:rPr>
          <w:rFonts w:eastAsiaTheme="majorEastAsia" w:cstheme="majorBidi"/>
          <w:b/>
          <w:bCs/>
          <w:caps/>
          <w:color w:val="2B9F97"/>
          <w:sz w:val="32"/>
          <w:szCs w:val="32"/>
        </w:rPr>
        <w:t>ZONULINE</w:t>
      </w:r>
      <w:proofErr w:type="spellEnd"/>
    </w:p>
    <w:p w:rsidR="00B0699B" w:rsidRPr="00B0699B" w:rsidRDefault="00452EE2" w:rsidP="008D6017">
      <w:pPr>
        <w:keepNext/>
        <w:spacing w:before="100" w:beforeAutospacing="1" w:after="240"/>
        <w:jc w:val="both"/>
        <w:outlineLvl w:val="0"/>
        <w:rPr>
          <w:rFonts w:eastAsia="Times New Roman" w:cs="Arial"/>
          <w:color w:val="3B3B3B"/>
          <w:kern w:val="36"/>
          <w:lang w:eastAsia="fr-BE"/>
        </w:rPr>
      </w:pPr>
      <w:r>
        <w:rPr>
          <w:rFonts w:eastAsia="Times New Roman" w:cs="Arial"/>
          <w:color w:val="3B3B3B"/>
          <w:kern w:val="36"/>
          <w:lang w:eastAsia="fr-BE"/>
        </w:rPr>
        <w:t>L</w:t>
      </w:r>
      <w:r w:rsidR="00B0699B" w:rsidRPr="00B0699B">
        <w:rPr>
          <w:rFonts w:eastAsia="Times New Roman" w:cs="Arial"/>
          <w:color w:val="3B3B3B"/>
          <w:kern w:val="36"/>
          <w:lang w:eastAsia="fr-BE"/>
        </w:rPr>
        <w:t xml:space="preserve">e système de régulation complexe </w:t>
      </w:r>
      <w:r>
        <w:rPr>
          <w:rFonts w:eastAsia="Times New Roman" w:cs="Arial"/>
          <w:color w:val="3B3B3B"/>
          <w:kern w:val="36"/>
          <w:lang w:eastAsia="fr-BE"/>
        </w:rPr>
        <w:t xml:space="preserve">de la voie </w:t>
      </w:r>
      <w:proofErr w:type="spellStart"/>
      <w:r>
        <w:rPr>
          <w:rFonts w:eastAsia="Times New Roman" w:cs="Arial"/>
          <w:color w:val="3B3B3B"/>
          <w:kern w:val="36"/>
          <w:lang w:eastAsia="fr-BE"/>
        </w:rPr>
        <w:t>paracellulaire</w:t>
      </w:r>
      <w:proofErr w:type="spellEnd"/>
      <w:r>
        <w:rPr>
          <w:rFonts w:eastAsia="Times New Roman" w:cs="Arial"/>
          <w:color w:val="3B3B3B"/>
          <w:kern w:val="36"/>
          <w:lang w:eastAsia="fr-BE"/>
        </w:rPr>
        <w:t xml:space="preserve"> </w:t>
      </w:r>
      <w:r w:rsidR="00B0699B" w:rsidRPr="00B0699B">
        <w:rPr>
          <w:rFonts w:eastAsia="Times New Roman" w:cs="Arial"/>
          <w:color w:val="3B3B3B"/>
          <w:kern w:val="36"/>
          <w:lang w:eastAsia="fr-BE"/>
        </w:rPr>
        <w:t xml:space="preserve">repose sur une protéine endogène fabriquée par la muqueuse intestinale: </w:t>
      </w:r>
      <w:r w:rsidR="00B0699B" w:rsidRPr="00242715">
        <w:rPr>
          <w:rFonts w:eastAsia="Times New Roman" w:cs="Arial"/>
          <w:b/>
          <w:color w:val="3B3B3B"/>
          <w:kern w:val="36"/>
          <w:lang w:eastAsia="fr-BE"/>
        </w:rPr>
        <w:t xml:space="preserve">la </w:t>
      </w:r>
      <w:proofErr w:type="spellStart"/>
      <w:r w:rsidR="00B0699B" w:rsidRPr="00242715">
        <w:rPr>
          <w:rFonts w:eastAsia="Times New Roman" w:cs="Arial"/>
          <w:b/>
          <w:color w:val="3B3B3B"/>
          <w:kern w:val="36"/>
          <w:lang w:eastAsia="fr-BE"/>
        </w:rPr>
        <w:t>zonuline</w:t>
      </w:r>
      <w:proofErr w:type="spellEnd"/>
      <w:r w:rsidR="00B0699B" w:rsidRPr="00B0699B">
        <w:rPr>
          <w:rFonts w:eastAsia="Times New Roman" w:cs="Arial"/>
          <w:color w:val="3B3B3B"/>
          <w:kern w:val="36"/>
          <w:lang w:eastAsia="fr-BE"/>
        </w:rPr>
        <w:t>.</w:t>
      </w:r>
    </w:p>
    <w:p w:rsidR="00B0699B" w:rsidRPr="00B0699B" w:rsidRDefault="00B0699B" w:rsidP="008D6017">
      <w:pPr>
        <w:pStyle w:val="NormalWeb"/>
        <w:shd w:val="clear" w:color="auto" w:fill="FFFFFF"/>
        <w:spacing w:before="0" w:beforeAutospacing="0" w:after="240" w:afterAutospacing="0"/>
        <w:jc w:val="both"/>
        <w:rPr>
          <w:rFonts w:asciiTheme="minorHAnsi" w:hAnsiTheme="minorHAnsi" w:cs="Arial"/>
          <w:color w:val="3B3B3B"/>
          <w:kern w:val="36"/>
        </w:rPr>
      </w:pPr>
      <w:r w:rsidRPr="00B0699B">
        <w:rPr>
          <w:rFonts w:asciiTheme="minorHAnsi" w:hAnsiTheme="minorHAnsi" w:cs="Arial"/>
          <w:color w:val="3B3B3B"/>
          <w:kern w:val="36"/>
        </w:rPr>
        <w:t xml:space="preserve">Cette protéine a été identifiée par les chercheurs comme étant la pré-haptoglobine-2 ou HP-2. </w:t>
      </w:r>
      <w:r w:rsidR="00BF7658">
        <w:rPr>
          <w:rFonts w:asciiTheme="minorHAnsi" w:hAnsiTheme="minorHAnsi" w:cs="Arial"/>
          <w:color w:val="3B3B3B"/>
          <w:kern w:val="36"/>
        </w:rPr>
        <w:t>Elle</w:t>
      </w:r>
      <w:r w:rsidRPr="00B0699B">
        <w:rPr>
          <w:rFonts w:asciiTheme="minorHAnsi" w:hAnsiTheme="minorHAnsi" w:cs="Arial"/>
          <w:color w:val="3B3B3B"/>
          <w:kern w:val="36"/>
        </w:rPr>
        <w:t xml:space="preserve"> était jusque-là considérée comme inactive </w:t>
      </w:r>
      <w:r w:rsidR="00BF7658">
        <w:rPr>
          <w:rFonts w:asciiTheme="minorHAnsi" w:hAnsiTheme="minorHAnsi" w:cs="Arial"/>
          <w:color w:val="3B3B3B"/>
          <w:kern w:val="36"/>
        </w:rPr>
        <w:t>avec</w:t>
      </w:r>
      <w:r w:rsidRPr="00B0699B">
        <w:rPr>
          <w:rFonts w:asciiTheme="minorHAnsi" w:hAnsiTheme="minorHAnsi" w:cs="Arial"/>
          <w:color w:val="3B3B3B"/>
          <w:kern w:val="36"/>
        </w:rPr>
        <w:t xml:space="preserve"> pour seule fonction de former des complex</w:t>
      </w:r>
      <w:r w:rsidR="005810B8">
        <w:rPr>
          <w:rFonts w:asciiTheme="minorHAnsi" w:hAnsiTheme="minorHAnsi" w:cs="Arial"/>
          <w:color w:val="3B3B3B"/>
          <w:kern w:val="36"/>
        </w:rPr>
        <w:t>es HP-Hb (Hémoglobine) stables afin de protéger</w:t>
      </w:r>
      <w:r w:rsidRPr="00B0699B">
        <w:rPr>
          <w:rFonts w:asciiTheme="minorHAnsi" w:hAnsiTheme="minorHAnsi" w:cs="Arial"/>
          <w:color w:val="3B3B3B"/>
          <w:kern w:val="36"/>
        </w:rPr>
        <w:t xml:space="preserve"> les tissus des dommages oxydatifs induits par l’hémoglobine.</w:t>
      </w:r>
    </w:p>
    <w:p w:rsidR="00B0699B" w:rsidRDefault="00B0699B" w:rsidP="008D6017">
      <w:pPr>
        <w:pStyle w:val="NormalWeb"/>
        <w:shd w:val="clear" w:color="auto" w:fill="FFFFFF"/>
        <w:spacing w:before="0" w:beforeAutospacing="0" w:after="240" w:afterAutospacing="0"/>
        <w:jc w:val="both"/>
        <w:rPr>
          <w:rFonts w:asciiTheme="minorHAnsi" w:hAnsiTheme="minorHAnsi" w:cs="Arial"/>
          <w:color w:val="3B3B3B"/>
          <w:kern w:val="36"/>
        </w:rPr>
      </w:pPr>
      <w:r w:rsidRPr="00B0699B">
        <w:rPr>
          <w:rFonts w:asciiTheme="minorHAnsi" w:hAnsiTheme="minorHAnsi" w:cs="Arial"/>
          <w:color w:val="3B3B3B"/>
          <w:kern w:val="36"/>
        </w:rPr>
        <w:t>Or</w:t>
      </w:r>
      <w:r w:rsidR="00A9566D">
        <w:rPr>
          <w:rFonts w:asciiTheme="minorHAnsi" w:hAnsiTheme="minorHAnsi" w:cs="Arial"/>
          <w:color w:val="3B3B3B"/>
          <w:kern w:val="36"/>
        </w:rPr>
        <w:t>,</w:t>
      </w:r>
      <w:r w:rsidRPr="00B0699B">
        <w:rPr>
          <w:rFonts w:asciiTheme="minorHAnsi" w:hAnsiTheme="minorHAnsi" w:cs="Arial"/>
          <w:color w:val="3B3B3B"/>
          <w:kern w:val="36"/>
        </w:rPr>
        <w:t xml:space="preserve"> les études récentes montrent que c’est loin d’être son unique rôle. La zonuline peut être considérée comme une véritable hormone. Son rôle physiologique exact n’est pas complètement élucidé, mais on sait qu’elle est impliquée dans l’ouverture ponctuelle des jonctions serrées pour faciliter le mouvement des fluides, de certaines macromolécules et des leucocytes du sang vers la lumière intestinale et </w:t>
      </w:r>
      <w:r w:rsidR="007A72DB">
        <w:rPr>
          <w:rFonts w:asciiTheme="minorHAnsi" w:hAnsiTheme="minorHAnsi" w:cs="Arial"/>
          <w:color w:val="3B3B3B"/>
          <w:kern w:val="36"/>
        </w:rPr>
        <w:t>inversément</w:t>
      </w:r>
      <w:r w:rsidRPr="00B0699B">
        <w:rPr>
          <w:rFonts w:asciiTheme="minorHAnsi" w:hAnsiTheme="minorHAnsi" w:cs="Arial"/>
          <w:color w:val="3B3B3B"/>
          <w:kern w:val="36"/>
        </w:rPr>
        <w:t>. Elle interviendrait notamment pour nous protéger d’une colonisation bactérienne massive en c</w:t>
      </w:r>
      <w:r w:rsidR="00B929B7">
        <w:rPr>
          <w:rFonts w:asciiTheme="minorHAnsi" w:hAnsiTheme="minorHAnsi" w:cs="Arial"/>
          <w:color w:val="3B3B3B"/>
          <w:kern w:val="36"/>
        </w:rPr>
        <w:t>as de gastro-entérite.</w:t>
      </w:r>
    </w:p>
    <w:p w:rsidR="00B929B7" w:rsidRPr="00B0699B" w:rsidRDefault="00B929B7" w:rsidP="008D6017">
      <w:pPr>
        <w:spacing w:before="480" w:after="240"/>
        <w:jc w:val="both"/>
        <w:rPr>
          <w:rFonts w:eastAsiaTheme="majorEastAsia" w:cstheme="majorBidi"/>
          <w:b/>
          <w:bCs/>
          <w:caps/>
          <w:color w:val="2B9F97"/>
          <w:sz w:val="32"/>
          <w:szCs w:val="32"/>
        </w:rPr>
      </w:pPr>
      <w:r>
        <w:rPr>
          <w:rFonts w:eastAsiaTheme="majorEastAsia" w:cstheme="majorBidi"/>
          <w:b/>
          <w:bCs/>
          <w:caps/>
          <w:color w:val="2B9F97"/>
          <w:sz w:val="32"/>
          <w:szCs w:val="32"/>
        </w:rPr>
        <w:t xml:space="preserve">Les perturbateurs de la </w:t>
      </w:r>
      <w:proofErr w:type="spellStart"/>
      <w:r>
        <w:rPr>
          <w:rFonts w:eastAsiaTheme="majorEastAsia" w:cstheme="majorBidi"/>
          <w:b/>
          <w:bCs/>
          <w:caps/>
          <w:color w:val="2B9F97"/>
          <w:sz w:val="32"/>
          <w:szCs w:val="32"/>
        </w:rPr>
        <w:t>zonuline</w:t>
      </w:r>
      <w:proofErr w:type="spellEnd"/>
    </w:p>
    <w:p w:rsidR="00B0699B" w:rsidRPr="00B0699B" w:rsidRDefault="006526C6" w:rsidP="008D6017">
      <w:pPr>
        <w:spacing w:before="100" w:beforeAutospacing="1" w:after="240"/>
        <w:jc w:val="both"/>
        <w:outlineLvl w:val="0"/>
        <w:rPr>
          <w:rFonts w:eastAsia="Times New Roman" w:cs="Arial"/>
          <w:color w:val="3B3B3B"/>
          <w:kern w:val="36"/>
          <w:lang w:eastAsia="fr-BE"/>
        </w:rPr>
      </w:pPr>
      <w:r w:rsidRPr="00B0699B">
        <w:rPr>
          <w:rFonts w:eastAsia="Times New Roman" w:cs="Arial"/>
          <w:color w:val="3B3B3B"/>
          <w:kern w:val="36"/>
          <w:lang w:eastAsia="fr-BE"/>
        </w:rPr>
        <w:t xml:space="preserve">Le système de régulation des jonctions serrées est un processus très sophistiqué qui peut facilement se dérégler. </w:t>
      </w:r>
      <w:r w:rsidR="00B929B7">
        <w:rPr>
          <w:rFonts w:eastAsia="Times New Roman" w:cs="Arial"/>
          <w:color w:val="3B3B3B"/>
          <w:kern w:val="36"/>
          <w:lang w:eastAsia="fr-BE"/>
        </w:rPr>
        <w:t>C</w:t>
      </w:r>
      <w:r w:rsidR="00B0699B" w:rsidRPr="00B0699B">
        <w:rPr>
          <w:rFonts w:eastAsia="Times New Roman" w:cs="Arial"/>
          <w:color w:val="3B3B3B"/>
          <w:kern w:val="36"/>
          <w:lang w:eastAsia="fr-BE"/>
        </w:rPr>
        <w:t xml:space="preserve">ertains facteurs sont </w:t>
      </w:r>
      <w:r>
        <w:rPr>
          <w:rFonts w:eastAsia="Times New Roman" w:cs="Arial"/>
          <w:color w:val="3B3B3B"/>
          <w:kern w:val="36"/>
          <w:lang w:eastAsia="fr-BE"/>
        </w:rPr>
        <w:t xml:space="preserve">en effet </w:t>
      </w:r>
      <w:r w:rsidR="00B0699B" w:rsidRPr="00B0699B">
        <w:rPr>
          <w:rFonts w:eastAsia="Times New Roman" w:cs="Arial"/>
          <w:color w:val="3B3B3B"/>
          <w:kern w:val="36"/>
          <w:lang w:eastAsia="fr-BE"/>
        </w:rPr>
        <w:t xml:space="preserve">capables de perturber la sécrétion ou l’activité de la </w:t>
      </w:r>
      <w:proofErr w:type="spellStart"/>
      <w:r w:rsidR="00B0699B" w:rsidRPr="00B0699B">
        <w:rPr>
          <w:rFonts w:eastAsia="Times New Roman" w:cs="Arial"/>
          <w:color w:val="3B3B3B"/>
          <w:kern w:val="36"/>
          <w:lang w:eastAsia="fr-BE"/>
        </w:rPr>
        <w:t>zonuline</w:t>
      </w:r>
      <w:proofErr w:type="spellEnd"/>
      <w:r w:rsidR="00B0699B" w:rsidRPr="00B0699B">
        <w:rPr>
          <w:rFonts w:eastAsia="Times New Roman" w:cs="Arial"/>
          <w:color w:val="3B3B3B"/>
          <w:kern w:val="36"/>
          <w:lang w:eastAsia="fr-BE"/>
        </w:rPr>
        <w:t xml:space="preserve"> et, par conséquent, d’augmenter anormalement la perméabilité intestinale.</w:t>
      </w:r>
    </w:p>
    <w:p w:rsidR="00B0699B" w:rsidRPr="00B0699B" w:rsidRDefault="00B0699B" w:rsidP="008D6017">
      <w:pPr>
        <w:spacing w:before="100" w:beforeAutospacing="1" w:after="240"/>
        <w:jc w:val="both"/>
        <w:outlineLvl w:val="0"/>
        <w:rPr>
          <w:rFonts w:eastAsia="Times New Roman" w:cs="Arial"/>
          <w:color w:val="3B3B3B"/>
          <w:kern w:val="36"/>
          <w:lang w:eastAsia="fr-BE"/>
        </w:rPr>
      </w:pPr>
      <w:r w:rsidRPr="00B0699B">
        <w:rPr>
          <w:rFonts w:eastAsia="Times New Roman" w:cs="Arial"/>
          <w:color w:val="3B3B3B"/>
          <w:kern w:val="36"/>
          <w:lang w:eastAsia="fr-BE"/>
        </w:rPr>
        <w:t xml:space="preserve">Parmi le très grand nombre de stimuli potentiels pouvant induire une hypersécrétion de </w:t>
      </w:r>
      <w:proofErr w:type="spellStart"/>
      <w:r w:rsidRPr="00B0699B">
        <w:rPr>
          <w:rFonts w:eastAsia="Times New Roman" w:cs="Arial"/>
          <w:color w:val="3B3B3B"/>
          <w:kern w:val="36"/>
          <w:lang w:eastAsia="fr-BE"/>
        </w:rPr>
        <w:t>zonuline</w:t>
      </w:r>
      <w:proofErr w:type="spellEnd"/>
      <w:r w:rsidRPr="00B0699B">
        <w:rPr>
          <w:rFonts w:eastAsia="Times New Roman" w:cs="Arial"/>
          <w:color w:val="3B3B3B"/>
          <w:kern w:val="36"/>
          <w:lang w:eastAsia="fr-BE"/>
        </w:rPr>
        <w:t xml:space="preserve">, </w:t>
      </w:r>
      <w:r w:rsidR="000D5D7F">
        <w:rPr>
          <w:rFonts w:eastAsia="Times New Roman" w:cs="Arial"/>
          <w:color w:val="3B3B3B"/>
          <w:kern w:val="36"/>
          <w:lang w:eastAsia="fr-BE"/>
        </w:rPr>
        <w:t>les chercheurs en ont identifié</w:t>
      </w:r>
      <w:r w:rsidRPr="00B0699B">
        <w:rPr>
          <w:rFonts w:eastAsia="Times New Roman" w:cs="Arial"/>
          <w:color w:val="3B3B3B"/>
          <w:kern w:val="36"/>
          <w:lang w:eastAsia="fr-BE"/>
        </w:rPr>
        <w:t xml:space="preserve"> deux principaux : les bactéries </w:t>
      </w:r>
      <w:proofErr w:type="spellStart"/>
      <w:r w:rsidRPr="00B0699B">
        <w:rPr>
          <w:rFonts w:eastAsia="Times New Roman" w:cs="Arial"/>
          <w:color w:val="3B3B3B"/>
          <w:kern w:val="36"/>
          <w:lang w:eastAsia="fr-BE"/>
        </w:rPr>
        <w:t>entéro</w:t>
      </w:r>
      <w:r w:rsidR="00D757C7">
        <w:rPr>
          <w:rFonts w:eastAsia="Times New Roman" w:cs="Arial"/>
          <w:color w:val="3B3B3B"/>
          <w:kern w:val="36"/>
          <w:lang w:eastAsia="fr-BE"/>
        </w:rPr>
        <w:t>-</w:t>
      </w:r>
      <w:r w:rsidRPr="00B0699B">
        <w:rPr>
          <w:rFonts w:eastAsia="Times New Roman" w:cs="Arial"/>
          <w:color w:val="3B3B3B"/>
          <w:kern w:val="36"/>
          <w:lang w:eastAsia="fr-BE"/>
        </w:rPr>
        <w:t>toxiques</w:t>
      </w:r>
      <w:proofErr w:type="spellEnd"/>
      <w:r w:rsidRPr="00B0699B">
        <w:rPr>
          <w:rFonts w:eastAsia="Times New Roman" w:cs="Arial"/>
          <w:color w:val="3B3B3B"/>
          <w:kern w:val="36"/>
          <w:lang w:eastAsia="fr-BE"/>
        </w:rPr>
        <w:t xml:space="preserve"> et le gluten.</w:t>
      </w:r>
    </w:p>
    <w:p w:rsidR="00B0699B" w:rsidRPr="00B929B7" w:rsidRDefault="00B0699B" w:rsidP="008D6017">
      <w:pPr>
        <w:spacing w:before="360" w:after="240"/>
        <w:jc w:val="both"/>
        <w:rPr>
          <w:rFonts w:eastAsiaTheme="majorEastAsia" w:cstheme="majorBidi"/>
          <w:b/>
          <w:bCs/>
          <w:caps/>
          <w:color w:val="2B9F97"/>
          <w:sz w:val="22"/>
          <w:szCs w:val="32"/>
        </w:rPr>
      </w:pPr>
      <w:r w:rsidRPr="00B929B7">
        <w:rPr>
          <w:rFonts w:eastAsiaTheme="majorEastAsia" w:cstheme="majorBidi"/>
          <w:b/>
          <w:bCs/>
          <w:caps/>
          <w:color w:val="2B9F97"/>
          <w:sz w:val="22"/>
          <w:szCs w:val="32"/>
        </w:rPr>
        <w:t>Les bactéries</w:t>
      </w:r>
    </w:p>
    <w:p w:rsidR="00B0699B" w:rsidRPr="00B0699B" w:rsidRDefault="00B0699B" w:rsidP="008D6017">
      <w:pPr>
        <w:pStyle w:val="NormalWeb"/>
        <w:shd w:val="clear" w:color="auto" w:fill="FFFFFF"/>
        <w:spacing w:before="0" w:beforeAutospacing="0" w:after="240" w:afterAutospacing="0"/>
        <w:jc w:val="both"/>
        <w:rPr>
          <w:rFonts w:asciiTheme="minorHAnsi" w:hAnsiTheme="minorHAnsi" w:cs="Arial"/>
          <w:color w:val="3B3B3B"/>
          <w:kern w:val="36"/>
        </w:rPr>
      </w:pPr>
      <w:r w:rsidRPr="00B0699B">
        <w:rPr>
          <w:rFonts w:asciiTheme="minorHAnsi" w:hAnsiTheme="minorHAnsi" w:cs="Arial"/>
          <w:color w:val="3B3B3B"/>
          <w:kern w:val="36"/>
        </w:rPr>
        <w:t>Les chercheurs ont montré que l’exposition de l’intestin grêle à des bactéries entéro</w:t>
      </w:r>
      <w:r w:rsidR="00D757C7">
        <w:rPr>
          <w:rFonts w:asciiTheme="minorHAnsi" w:hAnsiTheme="minorHAnsi" w:cs="Arial"/>
          <w:color w:val="3B3B3B"/>
          <w:kern w:val="36"/>
        </w:rPr>
        <w:t>-</w:t>
      </w:r>
      <w:r w:rsidRPr="00B0699B">
        <w:rPr>
          <w:rFonts w:asciiTheme="minorHAnsi" w:hAnsiTheme="minorHAnsi" w:cs="Arial"/>
          <w:color w:val="3B3B3B"/>
          <w:kern w:val="36"/>
        </w:rPr>
        <w:t xml:space="preserve">toxiques provoque la sécrétion de zonuline, et ce, quelle que soit l’espèce animale hôte utilisée ou la virulence du micro-organisme testé. Cette sécrétion de zonuline a pour but de faciliter le mouvement des fluides et des leucocytes pour augmenter l’efficacité de la réponse immunitaire face à l’agression. </w:t>
      </w:r>
    </w:p>
    <w:p w:rsidR="00B0699B" w:rsidRPr="00B929B7" w:rsidRDefault="00B0699B" w:rsidP="008D6017">
      <w:pPr>
        <w:spacing w:before="360" w:after="240"/>
        <w:jc w:val="both"/>
        <w:rPr>
          <w:rFonts w:eastAsiaTheme="majorEastAsia" w:cstheme="majorBidi"/>
          <w:b/>
          <w:bCs/>
          <w:caps/>
          <w:color w:val="2B9F97"/>
          <w:sz w:val="22"/>
          <w:szCs w:val="32"/>
        </w:rPr>
      </w:pPr>
      <w:r w:rsidRPr="00B929B7">
        <w:rPr>
          <w:rFonts w:eastAsiaTheme="majorEastAsia" w:cstheme="majorBidi"/>
          <w:b/>
          <w:bCs/>
          <w:caps/>
          <w:color w:val="2B9F97"/>
          <w:sz w:val="22"/>
          <w:szCs w:val="32"/>
        </w:rPr>
        <w:t>Le gluten</w:t>
      </w:r>
    </w:p>
    <w:p w:rsidR="00B0699B" w:rsidRPr="00B0699B" w:rsidRDefault="00B0699B" w:rsidP="008D6017">
      <w:pPr>
        <w:pStyle w:val="NormalWeb"/>
        <w:shd w:val="clear" w:color="auto" w:fill="FFFFFF"/>
        <w:spacing w:before="0" w:beforeAutospacing="0" w:after="240" w:afterAutospacing="0"/>
        <w:jc w:val="both"/>
        <w:rPr>
          <w:rFonts w:asciiTheme="minorHAnsi" w:hAnsiTheme="minorHAnsi" w:cs="Arial"/>
          <w:color w:val="3B3B3B"/>
          <w:kern w:val="36"/>
        </w:rPr>
      </w:pPr>
      <w:r w:rsidRPr="00B0699B">
        <w:rPr>
          <w:rFonts w:asciiTheme="minorHAnsi" w:hAnsiTheme="minorHAnsi" w:cs="Arial"/>
          <w:color w:val="3B3B3B"/>
          <w:kern w:val="36"/>
        </w:rPr>
        <w:t xml:space="preserve">Le gluten est une molécule composée de deux protéines, la gliadine et la gluténine. </w:t>
      </w:r>
    </w:p>
    <w:p w:rsidR="00B0699B" w:rsidRPr="00B0699B" w:rsidRDefault="00B0699B" w:rsidP="008D6017">
      <w:pPr>
        <w:pStyle w:val="NormalWeb"/>
        <w:shd w:val="clear" w:color="auto" w:fill="FFFFFF"/>
        <w:spacing w:before="0" w:beforeAutospacing="0" w:after="240" w:afterAutospacing="0"/>
        <w:jc w:val="both"/>
        <w:rPr>
          <w:rFonts w:asciiTheme="minorHAnsi" w:hAnsiTheme="minorHAnsi" w:cs="Arial"/>
          <w:color w:val="3B3B3B"/>
          <w:kern w:val="36"/>
        </w:rPr>
      </w:pPr>
      <w:r w:rsidRPr="00B0699B">
        <w:rPr>
          <w:rFonts w:asciiTheme="minorHAnsi" w:hAnsiTheme="minorHAnsi" w:cs="Arial"/>
          <w:color w:val="3B3B3B"/>
          <w:kern w:val="36"/>
        </w:rPr>
        <w:t>Les chercheurs ont identifié</w:t>
      </w:r>
      <w:r w:rsidR="000D5D7F" w:rsidRPr="000D5D7F">
        <w:rPr>
          <w:rFonts w:asciiTheme="minorHAnsi" w:hAnsiTheme="minorHAnsi" w:cs="Arial"/>
          <w:color w:val="3B3B3B"/>
          <w:kern w:val="36"/>
        </w:rPr>
        <w:t xml:space="preserve"> </w:t>
      </w:r>
      <w:r w:rsidR="000D5D7F" w:rsidRPr="00B0699B">
        <w:rPr>
          <w:rFonts w:asciiTheme="minorHAnsi" w:hAnsiTheme="minorHAnsi" w:cs="Arial"/>
          <w:color w:val="3B3B3B"/>
          <w:kern w:val="36"/>
        </w:rPr>
        <w:t xml:space="preserve">un récepteur à la gliadine au niveau des cellules épithéliales de l’intestin </w:t>
      </w:r>
      <w:r w:rsidR="000D5D7F">
        <w:rPr>
          <w:rFonts w:asciiTheme="minorHAnsi" w:hAnsiTheme="minorHAnsi" w:cs="Arial"/>
          <w:color w:val="3B3B3B"/>
          <w:kern w:val="36"/>
        </w:rPr>
        <w:t>baptisé « </w:t>
      </w:r>
      <w:r w:rsidR="000D5D7F" w:rsidRPr="00B0699B">
        <w:rPr>
          <w:rFonts w:asciiTheme="minorHAnsi" w:hAnsiTheme="minorHAnsi" w:cs="Arial"/>
          <w:color w:val="3B3B3B"/>
          <w:kern w:val="36"/>
        </w:rPr>
        <w:t>CXCR3</w:t>
      </w:r>
      <w:r w:rsidR="000D5D7F">
        <w:rPr>
          <w:rFonts w:asciiTheme="minorHAnsi" w:hAnsiTheme="minorHAnsi" w:cs="Arial"/>
          <w:color w:val="3B3B3B"/>
          <w:kern w:val="36"/>
        </w:rPr>
        <w:t> »</w:t>
      </w:r>
      <w:r w:rsidRPr="00B0699B">
        <w:rPr>
          <w:rFonts w:asciiTheme="minorHAnsi" w:hAnsiTheme="minorHAnsi" w:cs="Arial"/>
          <w:color w:val="3B3B3B"/>
          <w:kern w:val="36"/>
        </w:rPr>
        <w:t xml:space="preserve">. L’interaction de la gliadine avec son récepteur provoque la libération de zonuline qui, à son tour, provoque la déstructuration du cytosquelette d’actine des jonctions serrées. </w:t>
      </w:r>
      <w:r w:rsidR="00AA6207">
        <w:rPr>
          <w:rFonts w:asciiTheme="minorHAnsi" w:hAnsiTheme="minorHAnsi" w:cs="Arial"/>
          <w:color w:val="3B3B3B"/>
          <w:kern w:val="36"/>
        </w:rPr>
        <w:t>L</w:t>
      </w:r>
      <w:r w:rsidRPr="00B0699B">
        <w:rPr>
          <w:rFonts w:asciiTheme="minorHAnsi" w:hAnsiTheme="minorHAnsi" w:cs="Arial"/>
          <w:color w:val="3B3B3B"/>
          <w:kern w:val="36"/>
        </w:rPr>
        <w:t>a liaison de la gliadine à son récepteur augmente</w:t>
      </w:r>
      <w:r w:rsidR="00AA6207">
        <w:rPr>
          <w:rFonts w:asciiTheme="minorHAnsi" w:hAnsiTheme="minorHAnsi" w:cs="Arial"/>
          <w:color w:val="3B3B3B"/>
          <w:kern w:val="36"/>
        </w:rPr>
        <w:t xml:space="preserve"> donc</w:t>
      </w:r>
      <w:r w:rsidRPr="00B0699B">
        <w:rPr>
          <w:rFonts w:asciiTheme="minorHAnsi" w:hAnsiTheme="minorHAnsi" w:cs="Arial"/>
          <w:color w:val="3B3B3B"/>
          <w:kern w:val="36"/>
        </w:rPr>
        <w:t xml:space="preserve"> la perméabilité intestinale.</w:t>
      </w:r>
    </w:p>
    <w:p w:rsidR="00B0699B" w:rsidRPr="00B0699B" w:rsidRDefault="00B0699B" w:rsidP="008D6017">
      <w:pPr>
        <w:pStyle w:val="NormalWeb"/>
        <w:shd w:val="clear" w:color="auto" w:fill="FFFFFF"/>
        <w:spacing w:before="0" w:beforeAutospacing="0" w:after="240" w:afterAutospacing="0"/>
        <w:jc w:val="both"/>
        <w:rPr>
          <w:rFonts w:asciiTheme="minorHAnsi" w:hAnsiTheme="minorHAnsi" w:cs="Arial"/>
          <w:color w:val="3B3B3B"/>
          <w:kern w:val="36"/>
        </w:rPr>
      </w:pPr>
      <w:r w:rsidRPr="00B0699B">
        <w:rPr>
          <w:rFonts w:asciiTheme="minorHAnsi" w:hAnsiTheme="minorHAnsi" w:cs="Arial"/>
          <w:color w:val="3B3B3B"/>
          <w:kern w:val="36"/>
        </w:rPr>
        <w:t xml:space="preserve">Les études montrent que le CXCR3 est nettement surexprimé chez les patients atteint de maladie coeliaque. Il existe donc clairement un polymorphisme génétique prédisposant à la maladie coeliaque. </w:t>
      </w:r>
    </w:p>
    <w:p w:rsidR="00B0699B" w:rsidRPr="00B0699B" w:rsidRDefault="00B0699B" w:rsidP="008D6017">
      <w:pPr>
        <w:pStyle w:val="NormalWeb"/>
        <w:shd w:val="clear" w:color="auto" w:fill="FFFFFF"/>
        <w:spacing w:before="0" w:beforeAutospacing="0" w:after="240" w:afterAutospacing="0"/>
        <w:jc w:val="both"/>
        <w:rPr>
          <w:rFonts w:asciiTheme="minorHAnsi" w:hAnsiTheme="minorHAnsi" w:cs="Arial"/>
          <w:color w:val="3B3B3B"/>
          <w:kern w:val="36"/>
        </w:rPr>
      </w:pPr>
      <w:r w:rsidRPr="00B0699B">
        <w:rPr>
          <w:rFonts w:asciiTheme="minorHAnsi" w:hAnsiTheme="minorHAnsi" w:cs="Arial"/>
          <w:color w:val="3B3B3B"/>
          <w:kern w:val="36"/>
        </w:rPr>
        <w:t>Cependant, l’hypersécrétion de zonuline n’est pas le seul mécanisme délétère lié à la consommation de gluten.</w:t>
      </w:r>
    </w:p>
    <w:p w:rsidR="00B0699B" w:rsidRPr="00B0699B" w:rsidRDefault="00B0699B" w:rsidP="008D6017">
      <w:pPr>
        <w:pStyle w:val="NormalWeb"/>
        <w:shd w:val="clear" w:color="auto" w:fill="FFFFFF"/>
        <w:spacing w:before="0" w:beforeAutospacing="0" w:after="240" w:afterAutospacing="0"/>
        <w:jc w:val="both"/>
        <w:rPr>
          <w:rFonts w:asciiTheme="minorHAnsi" w:hAnsiTheme="minorHAnsi" w:cs="Arial"/>
          <w:color w:val="3B3B3B"/>
          <w:kern w:val="36"/>
        </w:rPr>
      </w:pPr>
      <w:r w:rsidRPr="00B0699B">
        <w:rPr>
          <w:rFonts w:asciiTheme="minorHAnsi" w:hAnsiTheme="minorHAnsi" w:cs="Arial"/>
          <w:color w:val="3B3B3B"/>
          <w:kern w:val="36"/>
        </w:rPr>
        <w:t>Les chercheurs ont décortiqué la molécule de gluten et ont identifié plusieurs fragments peptidiques responsables d’effets délétères divers, se renforçant les uns les autres. Ils ont ainsi identifié :</w:t>
      </w:r>
    </w:p>
    <w:p w:rsidR="00B0699B" w:rsidRPr="00B0699B" w:rsidRDefault="00B0699B" w:rsidP="008D6017">
      <w:pPr>
        <w:pStyle w:val="NormalWeb"/>
        <w:numPr>
          <w:ilvl w:val="0"/>
          <w:numId w:val="2"/>
        </w:numPr>
        <w:shd w:val="clear" w:color="auto" w:fill="FFFFFF"/>
        <w:spacing w:before="0" w:beforeAutospacing="0" w:after="240" w:afterAutospacing="0"/>
        <w:jc w:val="both"/>
        <w:rPr>
          <w:rFonts w:asciiTheme="minorHAnsi" w:hAnsiTheme="minorHAnsi" w:cs="Arial"/>
          <w:color w:val="3B3B3B"/>
          <w:kern w:val="36"/>
        </w:rPr>
      </w:pPr>
      <w:r w:rsidRPr="00B0699B">
        <w:rPr>
          <w:rFonts w:asciiTheme="minorHAnsi" w:hAnsiTheme="minorHAnsi" w:cs="Arial"/>
          <w:color w:val="3B3B3B"/>
          <w:kern w:val="36"/>
        </w:rPr>
        <w:t>le peptide 31 à 43, cytotoxique</w:t>
      </w:r>
    </w:p>
    <w:p w:rsidR="00B0699B" w:rsidRPr="00B0699B" w:rsidRDefault="00B0699B" w:rsidP="008D6017">
      <w:pPr>
        <w:pStyle w:val="NormalWeb"/>
        <w:numPr>
          <w:ilvl w:val="0"/>
          <w:numId w:val="2"/>
        </w:numPr>
        <w:shd w:val="clear" w:color="auto" w:fill="FFFFFF"/>
        <w:spacing w:before="0" w:beforeAutospacing="0" w:after="240" w:afterAutospacing="0"/>
        <w:jc w:val="both"/>
        <w:rPr>
          <w:rFonts w:asciiTheme="minorHAnsi" w:hAnsiTheme="minorHAnsi" w:cs="Arial"/>
          <w:color w:val="3B3B3B"/>
          <w:kern w:val="36"/>
        </w:rPr>
      </w:pPr>
      <w:r w:rsidRPr="00B0699B">
        <w:rPr>
          <w:rFonts w:asciiTheme="minorHAnsi" w:hAnsiTheme="minorHAnsi" w:cs="Arial"/>
          <w:color w:val="3B3B3B"/>
          <w:kern w:val="36"/>
        </w:rPr>
        <w:t>le peptide 57 à 89, très allergisant et immunostimulant. Ce peptide est en effet résistant à la dégradation par l’acidité de l’estomac, par les enzymes pancréatiques et par les peptidases de l’intestin grêle. Il parvient aux tissus lymphoïdes de l’intestin quasiment intact, entraînant une susceptibilité importante de provoquer une réponse immunitaire</w:t>
      </w:r>
    </w:p>
    <w:p w:rsidR="00B0699B" w:rsidRPr="00B0699B" w:rsidRDefault="00B0699B" w:rsidP="008D6017">
      <w:pPr>
        <w:pStyle w:val="NormalWeb"/>
        <w:numPr>
          <w:ilvl w:val="0"/>
          <w:numId w:val="2"/>
        </w:numPr>
        <w:shd w:val="clear" w:color="auto" w:fill="FFFFFF"/>
        <w:spacing w:before="0" w:beforeAutospacing="0" w:after="240" w:afterAutospacing="0"/>
        <w:jc w:val="both"/>
        <w:rPr>
          <w:rFonts w:asciiTheme="minorHAnsi" w:hAnsiTheme="minorHAnsi" w:cs="Arial"/>
          <w:color w:val="3B3B3B"/>
          <w:kern w:val="36"/>
        </w:rPr>
      </w:pPr>
      <w:r w:rsidRPr="00B0699B">
        <w:rPr>
          <w:rFonts w:asciiTheme="minorHAnsi" w:hAnsiTheme="minorHAnsi" w:cs="Arial"/>
          <w:color w:val="3B3B3B"/>
          <w:kern w:val="36"/>
        </w:rPr>
        <w:t>les peptides 111 à 130 et 151 à 170 qui se lient au récepteur CXCR3 et stimulent la libération de la zonuline, responsable de l’augmentation de la perméabilité intestinale</w:t>
      </w:r>
    </w:p>
    <w:p w:rsidR="00B0699B" w:rsidRDefault="00B0699B" w:rsidP="008D6017">
      <w:pPr>
        <w:pStyle w:val="NormalWeb"/>
        <w:numPr>
          <w:ilvl w:val="0"/>
          <w:numId w:val="2"/>
        </w:numPr>
        <w:shd w:val="clear" w:color="auto" w:fill="FFFFFF"/>
        <w:spacing w:before="0" w:beforeAutospacing="0" w:after="240" w:afterAutospacing="0"/>
        <w:jc w:val="both"/>
        <w:rPr>
          <w:rFonts w:asciiTheme="minorHAnsi" w:hAnsiTheme="minorHAnsi" w:cs="Arial"/>
          <w:color w:val="3B3B3B"/>
          <w:kern w:val="36"/>
        </w:rPr>
      </w:pPr>
      <w:r w:rsidRPr="00B0699B">
        <w:rPr>
          <w:rFonts w:asciiTheme="minorHAnsi" w:hAnsiTheme="minorHAnsi" w:cs="Arial"/>
          <w:color w:val="3B3B3B"/>
          <w:kern w:val="36"/>
        </w:rPr>
        <w:t xml:space="preserve">le peptide 261 à 277 qui induit la libération d’interleukine 8, cytokine pro-inflammatoire impliquée de manière importante dans les maladies chroniques inflammatoires de l’intestin telles que maladie de Crohn </w:t>
      </w:r>
      <w:r w:rsidR="000F3501">
        <w:rPr>
          <w:rFonts w:asciiTheme="minorHAnsi" w:hAnsiTheme="minorHAnsi" w:cs="Arial"/>
          <w:color w:val="3B3B3B"/>
          <w:kern w:val="36"/>
        </w:rPr>
        <w:t>ou la rectocolite hémorragique.</w:t>
      </w:r>
    </w:p>
    <w:p w:rsidR="000F3501" w:rsidRPr="00B0699B" w:rsidRDefault="008D6017" w:rsidP="008D6017">
      <w:pPr>
        <w:pStyle w:val="NormalWeb"/>
        <w:shd w:val="clear" w:color="auto" w:fill="FFFFFF"/>
        <w:spacing w:before="0" w:beforeAutospacing="0" w:after="240" w:afterAutospacing="0"/>
        <w:jc w:val="both"/>
        <w:rPr>
          <w:rFonts w:asciiTheme="minorHAnsi" w:hAnsiTheme="minorHAnsi" w:cs="Arial"/>
          <w:color w:val="3B3B3B"/>
          <w:kern w:val="36"/>
        </w:rPr>
      </w:pPr>
      <w:r>
        <w:rPr>
          <w:rFonts w:asciiTheme="minorHAnsi" w:hAnsiTheme="minorHAnsi" w:cs="Arial"/>
          <w:color w:val="3B3B3B"/>
          <w:kern w:val="36"/>
        </w:rPr>
        <w:t xml:space="preserve">               </w:t>
      </w:r>
      <w:r w:rsidR="000F3501">
        <w:rPr>
          <w:rFonts w:asciiTheme="minorHAnsi" w:hAnsiTheme="minorHAnsi" w:cs="Arial"/>
          <w:noProof/>
          <w:color w:val="3B3B3B"/>
          <w:kern w:val="36"/>
          <w:lang w:val="fr-FR" w:eastAsia="fr-FR"/>
        </w:rPr>
        <w:drawing>
          <wp:inline distT="0" distB="0" distL="0" distR="0">
            <wp:extent cx="3371674" cy="2692400"/>
            <wp:effectExtent l="0" t="0" r="63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04812_orig.jpg"/>
                    <pic:cNvPicPr/>
                  </pic:nvPicPr>
                  <pic:blipFill>
                    <a:blip r:embed="rId9">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3376068" cy="2695909"/>
                    </a:xfrm>
                    <a:prstGeom prst="rect">
                      <a:avLst/>
                    </a:prstGeom>
                  </pic:spPr>
                </pic:pic>
              </a:graphicData>
            </a:graphic>
          </wp:inline>
        </w:drawing>
      </w:r>
    </w:p>
    <w:p w:rsidR="00610F09" w:rsidRDefault="000D5D7F" w:rsidP="008D6017">
      <w:pPr>
        <w:pStyle w:val="NormalWeb"/>
        <w:shd w:val="clear" w:color="auto" w:fill="FFFFFF"/>
        <w:spacing w:before="0" w:beforeAutospacing="0" w:after="240" w:afterAutospacing="0"/>
        <w:jc w:val="both"/>
        <w:rPr>
          <w:rFonts w:asciiTheme="minorHAnsi" w:hAnsiTheme="minorHAnsi" w:cs="Arial"/>
          <w:color w:val="3B3B3B"/>
          <w:kern w:val="36"/>
        </w:rPr>
      </w:pPr>
      <w:r>
        <w:rPr>
          <w:rFonts w:asciiTheme="minorHAnsi" w:hAnsiTheme="minorHAnsi" w:cs="Arial"/>
          <w:color w:val="3B3B3B"/>
          <w:kern w:val="36"/>
        </w:rPr>
        <w:t>La problématique du gluten</w:t>
      </w:r>
      <w:r w:rsidR="00B0699B" w:rsidRPr="00B0699B">
        <w:rPr>
          <w:rFonts w:asciiTheme="minorHAnsi" w:hAnsiTheme="minorHAnsi" w:cs="Arial"/>
          <w:color w:val="3B3B3B"/>
          <w:kern w:val="36"/>
        </w:rPr>
        <w:t xml:space="preserve"> </w:t>
      </w:r>
      <w:r>
        <w:rPr>
          <w:rFonts w:asciiTheme="minorHAnsi" w:hAnsiTheme="minorHAnsi" w:cs="Arial"/>
          <w:color w:val="3B3B3B"/>
          <w:kern w:val="36"/>
        </w:rPr>
        <w:t>se trouve</w:t>
      </w:r>
      <w:r w:rsidR="00B0699B" w:rsidRPr="00B0699B">
        <w:rPr>
          <w:rFonts w:asciiTheme="minorHAnsi" w:hAnsiTheme="minorHAnsi" w:cs="Arial"/>
          <w:color w:val="3B3B3B"/>
          <w:kern w:val="36"/>
        </w:rPr>
        <w:t xml:space="preserve"> amplifié</w:t>
      </w:r>
      <w:r>
        <w:rPr>
          <w:rFonts w:asciiTheme="minorHAnsi" w:hAnsiTheme="minorHAnsi" w:cs="Arial"/>
          <w:color w:val="3B3B3B"/>
          <w:kern w:val="36"/>
        </w:rPr>
        <w:t>e</w:t>
      </w:r>
      <w:r w:rsidR="00B0699B" w:rsidRPr="00B0699B">
        <w:rPr>
          <w:rFonts w:asciiTheme="minorHAnsi" w:hAnsiTheme="minorHAnsi" w:cs="Arial"/>
          <w:color w:val="3B3B3B"/>
          <w:kern w:val="36"/>
        </w:rPr>
        <w:t xml:space="preserve"> par la place de plus en plus prépondérante qu’occupent les céréales dans notre régime alimentaire depuis 5 000 ans, délai qui ne représente rien à l’échelle de l’humanité mais qui n’a pas laissé le temps à nos systèmes enzymatiques de s’adapter suffisamment pour nous permettre </w:t>
      </w:r>
      <w:r w:rsidR="00BF7658">
        <w:rPr>
          <w:rFonts w:asciiTheme="minorHAnsi" w:hAnsiTheme="minorHAnsi" w:cs="Arial"/>
          <w:color w:val="3B3B3B"/>
          <w:kern w:val="36"/>
        </w:rPr>
        <w:t xml:space="preserve">de </w:t>
      </w:r>
      <w:r w:rsidR="00B0699B" w:rsidRPr="00B0699B">
        <w:rPr>
          <w:rFonts w:asciiTheme="minorHAnsi" w:hAnsiTheme="minorHAnsi" w:cs="Arial"/>
          <w:color w:val="3B3B3B"/>
          <w:kern w:val="36"/>
        </w:rPr>
        <w:t>digérer de manière optimale toutes les protéines contenues dans ces céréales. En outre, les hybridations et autres manipulations du blé et du froment modernes ont rendu ces aliments de plus en plus riches en gluten et en éléments étrangers à nos enzymes et tubes digestifs.</w:t>
      </w:r>
    </w:p>
    <w:p w:rsidR="002913FA" w:rsidRPr="002913FA" w:rsidRDefault="002913FA" w:rsidP="008D6017">
      <w:pPr>
        <w:spacing w:before="360" w:after="240"/>
        <w:jc w:val="both"/>
        <w:rPr>
          <w:rFonts w:eastAsiaTheme="majorEastAsia" w:cstheme="majorBidi"/>
          <w:b/>
          <w:bCs/>
          <w:caps/>
          <w:color w:val="2B9F97"/>
          <w:sz w:val="22"/>
          <w:szCs w:val="32"/>
        </w:rPr>
      </w:pPr>
      <w:r>
        <w:rPr>
          <w:rFonts w:eastAsiaTheme="majorEastAsia" w:cstheme="majorBidi"/>
          <w:b/>
          <w:bCs/>
          <w:caps/>
          <w:color w:val="2B9F97"/>
          <w:sz w:val="22"/>
          <w:szCs w:val="32"/>
        </w:rPr>
        <w:t xml:space="preserve">AUTRES </w:t>
      </w:r>
      <w:r w:rsidRPr="002913FA">
        <w:rPr>
          <w:rFonts w:eastAsiaTheme="majorEastAsia" w:cstheme="majorBidi"/>
          <w:b/>
          <w:bCs/>
          <w:caps/>
          <w:color w:val="2B9F97"/>
          <w:sz w:val="22"/>
          <w:szCs w:val="32"/>
        </w:rPr>
        <w:t xml:space="preserve">Facteurs de perméabilité </w:t>
      </w:r>
      <w:r>
        <w:rPr>
          <w:rFonts w:eastAsiaTheme="majorEastAsia" w:cstheme="majorBidi"/>
          <w:b/>
          <w:bCs/>
          <w:caps/>
          <w:color w:val="2B9F97"/>
          <w:sz w:val="22"/>
          <w:szCs w:val="32"/>
        </w:rPr>
        <w:t>INTESTINALE</w:t>
      </w:r>
    </w:p>
    <w:p w:rsidR="002913FA" w:rsidRPr="00B0699B" w:rsidRDefault="002913FA" w:rsidP="008D6017">
      <w:pPr>
        <w:spacing w:before="100" w:beforeAutospacing="1" w:after="240"/>
        <w:jc w:val="both"/>
        <w:outlineLvl w:val="0"/>
        <w:rPr>
          <w:rFonts w:eastAsia="Times New Roman" w:cs="Arial"/>
          <w:color w:val="3B3B3B"/>
          <w:kern w:val="36"/>
          <w:lang w:eastAsia="fr-BE"/>
        </w:rPr>
      </w:pPr>
      <w:r w:rsidRPr="00B0699B">
        <w:rPr>
          <w:rFonts w:eastAsia="Times New Roman" w:cs="Arial"/>
          <w:color w:val="3B3B3B"/>
          <w:kern w:val="36"/>
          <w:lang w:eastAsia="fr-BE"/>
        </w:rPr>
        <w:t>Bien que la consommation de gluten soit particulièrement délétère pour l’intégrité de la barrière intestinale, il existe d’autres facteurs pouvant compromettre ou aggraver l’intégrité des jonctions serrées.</w:t>
      </w:r>
    </w:p>
    <w:p w:rsidR="002913FA" w:rsidRPr="00B0699B" w:rsidRDefault="002913FA" w:rsidP="008D6017">
      <w:pPr>
        <w:spacing w:before="100" w:beforeAutospacing="1" w:after="240"/>
        <w:jc w:val="both"/>
        <w:outlineLvl w:val="0"/>
        <w:rPr>
          <w:rFonts w:eastAsia="Times New Roman" w:cs="Arial"/>
          <w:color w:val="3B3B3B"/>
          <w:kern w:val="36"/>
          <w:lang w:eastAsia="fr-BE"/>
        </w:rPr>
      </w:pPr>
      <w:r w:rsidRPr="00B0699B">
        <w:rPr>
          <w:rFonts w:eastAsia="Times New Roman" w:cs="Arial"/>
          <w:color w:val="3B3B3B"/>
          <w:kern w:val="36"/>
          <w:lang w:eastAsia="fr-BE"/>
        </w:rPr>
        <w:t xml:space="preserve">On sait notamment que l’intestin immature des bébés prématurés, celui de personnes soumises à une </w:t>
      </w:r>
      <w:proofErr w:type="spellStart"/>
      <w:r w:rsidRPr="00B0699B">
        <w:rPr>
          <w:rFonts w:eastAsia="Times New Roman" w:cs="Arial"/>
          <w:color w:val="3B3B3B"/>
          <w:kern w:val="36"/>
          <w:lang w:eastAsia="fr-BE"/>
        </w:rPr>
        <w:t>radio-</w:t>
      </w:r>
      <w:proofErr w:type="spellEnd"/>
      <w:r w:rsidRPr="00B0699B">
        <w:rPr>
          <w:rFonts w:eastAsia="Times New Roman" w:cs="Arial"/>
          <w:color w:val="3B3B3B"/>
          <w:kern w:val="36"/>
          <w:lang w:eastAsia="fr-BE"/>
        </w:rPr>
        <w:t xml:space="preserve"> ou à une chimiothérapie, où celui des sportifs de haut niveau est anormalement perméable.</w:t>
      </w:r>
    </w:p>
    <w:p w:rsidR="002913FA" w:rsidRPr="00B0699B" w:rsidRDefault="002913FA" w:rsidP="008D6017">
      <w:pPr>
        <w:spacing w:before="100" w:beforeAutospacing="1" w:after="240"/>
        <w:jc w:val="both"/>
        <w:outlineLvl w:val="0"/>
        <w:rPr>
          <w:rFonts w:eastAsia="Times New Roman" w:cs="Arial"/>
          <w:color w:val="3B3B3B"/>
          <w:kern w:val="36"/>
          <w:lang w:eastAsia="fr-BE"/>
        </w:rPr>
      </w:pPr>
      <w:r w:rsidRPr="00B0699B">
        <w:rPr>
          <w:rFonts w:eastAsia="Times New Roman" w:cs="Arial"/>
          <w:color w:val="3B3B3B"/>
          <w:kern w:val="36"/>
          <w:lang w:eastAsia="fr-BE"/>
        </w:rPr>
        <w:t xml:space="preserve">Il est </w:t>
      </w:r>
      <w:r w:rsidR="000D5D7F">
        <w:rPr>
          <w:rFonts w:eastAsia="Times New Roman" w:cs="Arial"/>
          <w:color w:val="3B3B3B"/>
          <w:kern w:val="36"/>
          <w:lang w:eastAsia="fr-BE"/>
        </w:rPr>
        <w:t xml:space="preserve">également </w:t>
      </w:r>
      <w:r w:rsidRPr="00B0699B">
        <w:rPr>
          <w:rFonts w:eastAsia="Times New Roman" w:cs="Arial"/>
          <w:color w:val="3B3B3B"/>
          <w:kern w:val="36"/>
          <w:lang w:eastAsia="fr-BE"/>
        </w:rPr>
        <w:t>probable que certains produits chimiques environnementaux comme les perturbateurs endocriniens et les pesticides jouent un rôle non négligeable dans la perturbation</w:t>
      </w:r>
      <w:r w:rsidR="003A4176">
        <w:rPr>
          <w:rFonts w:eastAsia="Times New Roman" w:cs="Arial"/>
          <w:color w:val="3B3B3B"/>
          <w:kern w:val="36"/>
          <w:lang w:eastAsia="fr-BE"/>
        </w:rPr>
        <w:t xml:space="preserve"> de l’activité</w:t>
      </w:r>
      <w:r w:rsidRPr="00B0699B">
        <w:rPr>
          <w:rFonts w:eastAsia="Times New Roman" w:cs="Arial"/>
          <w:color w:val="3B3B3B"/>
          <w:kern w:val="36"/>
          <w:lang w:eastAsia="fr-BE"/>
        </w:rPr>
        <w:t xml:space="preserve"> de la </w:t>
      </w:r>
      <w:proofErr w:type="spellStart"/>
      <w:r w:rsidRPr="00B0699B">
        <w:rPr>
          <w:rFonts w:eastAsia="Times New Roman" w:cs="Arial"/>
          <w:color w:val="3B3B3B"/>
          <w:kern w:val="36"/>
          <w:lang w:eastAsia="fr-BE"/>
        </w:rPr>
        <w:t>zonuline</w:t>
      </w:r>
      <w:proofErr w:type="spellEnd"/>
      <w:r w:rsidRPr="00B0699B">
        <w:rPr>
          <w:rFonts w:eastAsia="Times New Roman" w:cs="Arial"/>
          <w:color w:val="3B3B3B"/>
          <w:kern w:val="36"/>
          <w:lang w:eastAsia="fr-BE"/>
        </w:rPr>
        <w:t>.</w:t>
      </w:r>
    </w:p>
    <w:p w:rsidR="000F3501" w:rsidRDefault="002913FA" w:rsidP="008D6017">
      <w:pPr>
        <w:spacing w:before="100" w:beforeAutospacing="1" w:after="240"/>
        <w:jc w:val="both"/>
        <w:outlineLvl w:val="0"/>
        <w:rPr>
          <w:rFonts w:eastAsia="Times New Roman" w:cs="Arial"/>
          <w:color w:val="3B3B3B"/>
          <w:kern w:val="36"/>
          <w:lang w:eastAsia="fr-BE"/>
        </w:rPr>
      </w:pPr>
      <w:r w:rsidRPr="00B0699B">
        <w:rPr>
          <w:rFonts w:eastAsia="Times New Roman" w:cs="Arial"/>
          <w:color w:val="3B3B3B"/>
          <w:kern w:val="36"/>
          <w:lang w:eastAsia="fr-BE"/>
        </w:rPr>
        <w:t>De nombreux autres aliments, substances chimiques ou facteurs sont également probablement impliqués.</w:t>
      </w:r>
      <w:r w:rsidR="003A4176">
        <w:rPr>
          <w:rFonts w:eastAsia="Times New Roman" w:cs="Arial"/>
          <w:color w:val="3B3B3B"/>
          <w:kern w:val="36"/>
          <w:lang w:eastAsia="fr-BE"/>
        </w:rPr>
        <w:t xml:space="preserve"> </w:t>
      </w:r>
      <w:r w:rsidRPr="007A30F0">
        <w:rPr>
          <w:rFonts w:eastAsia="Times New Roman" w:cs="Arial"/>
          <w:color w:val="3B3B3B"/>
          <w:kern w:val="36"/>
          <w:lang w:eastAsia="fr-BE"/>
        </w:rPr>
        <w:t>On peut citer notamment la caséine (qui constitue 80 % des protéines du lait et des produits laitiers), les solanacées (pommes de terre, les piments, la tomate</w:t>
      </w:r>
      <w:proofErr w:type="gramStart"/>
      <w:r w:rsidRPr="007A30F0">
        <w:rPr>
          <w:rFonts w:eastAsia="Times New Roman" w:cs="Arial"/>
          <w:color w:val="3B3B3B"/>
          <w:kern w:val="36"/>
          <w:lang w:eastAsia="fr-BE"/>
        </w:rPr>
        <w:t>,…)</w:t>
      </w:r>
      <w:proofErr w:type="gramEnd"/>
      <w:r w:rsidRPr="007A30F0">
        <w:rPr>
          <w:rFonts w:eastAsia="Times New Roman" w:cs="Arial"/>
          <w:color w:val="3B3B3B"/>
          <w:kern w:val="36"/>
          <w:lang w:eastAsia="fr-BE"/>
        </w:rPr>
        <w:t>, les médicaments anti-inflammatoires non stéroïdiens (aspirine, ibuprofène, …), les déficits en zinc et en vitamine D (qui touchent plus de</w:t>
      </w:r>
      <w:r w:rsidR="00C71969">
        <w:rPr>
          <w:rFonts w:eastAsia="Times New Roman" w:cs="Arial"/>
          <w:color w:val="3B3B3B"/>
          <w:kern w:val="36"/>
          <w:lang w:eastAsia="fr-BE"/>
        </w:rPr>
        <w:t xml:space="preserve"> 75%</w:t>
      </w:r>
      <w:r w:rsidR="00AD1D0E">
        <w:rPr>
          <w:rFonts w:eastAsia="Times New Roman" w:cs="Arial"/>
          <w:color w:val="3B3B3B"/>
          <w:kern w:val="36"/>
          <w:lang w:eastAsia="fr-BE"/>
        </w:rPr>
        <w:t xml:space="preserve"> </w:t>
      </w:r>
      <w:r w:rsidRPr="007A30F0">
        <w:rPr>
          <w:rFonts w:eastAsia="Times New Roman" w:cs="Arial"/>
          <w:color w:val="3B3B3B"/>
          <w:kern w:val="36"/>
          <w:lang w:eastAsia="fr-BE"/>
        </w:rPr>
        <w:t xml:space="preserve">de la population). </w:t>
      </w:r>
    </w:p>
    <w:p w:rsidR="00731586" w:rsidRDefault="00731586" w:rsidP="008D6017">
      <w:pPr>
        <w:keepNext/>
        <w:spacing w:before="480" w:after="240"/>
        <w:jc w:val="both"/>
        <w:rPr>
          <w:rFonts w:eastAsiaTheme="majorEastAsia" w:cstheme="majorBidi"/>
          <w:b/>
          <w:bCs/>
          <w:caps/>
          <w:color w:val="2B9F97"/>
          <w:sz w:val="32"/>
          <w:szCs w:val="32"/>
        </w:rPr>
      </w:pPr>
      <w:r w:rsidRPr="007A30F0">
        <w:rPr>
          <w:rFonts w:eastAsiaTheme="majorEastAsia" w:cstheme="majorBidi"/>
          <w:b/>
          <w:bCs/>
          <w:caps/>
          <w:color w:val="2B9F97"/>
          <w:sz w:val="32"/>
          <w:szCs w:val="32"/>
        </w:rPr>
        <w:t>Perméabilité intestinale et maladies chroniques</w:t>
      </w:r>
    </w:p>
    <w:p w:rsidR="00AD2820" w:rsidRPr="007A30F0" w:rsidRDefault="00630EC2" w:rsidP="008D6017">
      <w:pPr>
        <w:keepNext/>
        <w:spacing w:before="480" w:after="240"/>
        <w:jc w:val="both"/>
        <w:rPr>
          <w:rFonts w:eastAsiaTheme="majorEastAsia" w:cstheme="majorBidi"/>
          <w:b/>
          <w:bCs/>
          <w:caps/>
          <w:color w:val="2B9F97"/>
          <w:sz w:val="32"/>
          <w:szCs w:val="32"/>
        </w:rPr>
      </w:pPr>
      <w:r>
        <w:rPr>
          <w:rFonts w:eastAsiaTheme="majorEastAsia" w:cstheme="majorBidi"/>
          <w:b/>
          <w:bCs/>
          <w:caps/>
          <w:color w:val="2B9F97"/>
          <w:sz w:val="32"/>
          <w:szCs w:val="32"/>
        </w:rPr>
        <w:t xml:space="preserve">      </w:t>
      </w:r>
      <w:r w:rsidR="00AD2820">
        <w:rPr>
          <w:rFonts w:eastAsiaTheme="majorEastAsia" w:cstheme="majorBidi"/>
          <w:b/>
          <w:bCs/>
          <w:caps/>
          <w:noProof/>
          <w:color w:val="2B9F97"/>
          <w:sz w:val="32"/>
          <w:szCs w:val="32"/>
        </w:rPr>
        <w:drawing>
          <wp:inline distT="0" distB="0" distL="0" distR="0">
            <wp:extent cx="5337175" cy="4002881"/>
            <wp:effectExtent l="25400" t="0" r="0" b="0"/>
            <wp:docPr id="11" name="Image 11" descr="C:\Users\Hélèné\Documents\NUTRI\ASBL défense nutrithérapeutes\Newsletters UDNF\ob_f8fc57_diapositiv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élèné\Documents\NUTRI\ASBL défense nutrithérapeutes\Newsletters UDNF\ob_f8fc57_diapositive4.JPG"/>
                    <pic:cNvPicPr>
                      <a:picLocks noChangeAspect="1" noChangeArrowheads="1"/>
                    </pic:cNvPicPr>
                  </pic:nvPicPr>
                  <pic:blipFill>
                    <a:blip r:embed="rId10">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50477" cy="4012857"/>
                    </a:xfrm>
                    <a:prstGeom prst="rect">
                      <a:avLst/>
                    </a:prstGeom>
                    <a:noFill/>
                    <a:ln>
                      <a:noFill/>
                    </a:ln>
                  </pic:spPr>
                </pic:pic>
              </a:graphicData>
            </a:graphic>
          </wp:inline>
        </w:drawing>
      </w:r>
    </w:p>
    <w:p w:rsidR="00B0699B" w:rsidRPr="00731586" w:rsidRDefault="00B0699B" w:rsidP="008D6017">
      <w:pPr>
        <w:spacing w:before="360" w:after="240"/>
        <w:jc w:val="both"/>
        <w:rPr>
          <w:rFonts w:eastAsiaTheme="majorEastAsia" w:cstheme="majorBidi"/>
          <w:b/>
          <w:bCs/>
          <w:caps/>
          <w:color w:val="2B9F97"/>
          <w:sz w:val="22"/>
          <w:szCs w:val="32"/>
        </w:rPr>
      </w:pPr>
      <w:r w:rsidRPr="00731586">
        <w:rPr>
          <w:rFonts w:eastAsiaTheme="majorEastAsia" w:cstheme="majorBidi"/>
          <w:b/>
          <w:bCs/>
          <w:caps/>
          <w:color w:val="2B9F97"/>
          <w:sz w:val="22"/>
          <w:szCs w:val="32"/>
        </w:rPr>
        <w:t xml:space="preserve">Maladie </w:t>
      </w:r>
      <w:proofErr w:type="spellStart"/>
      <w:r w:rsidRPr="00731586">
        <w:rPr>
          <w:rFonts w:eastAsiaTheme="majorEastAsia" w:cstheme="majorBidi"/>
          <w:b/>
          <w:bCs/>
          <w:caps/>
          <w:color w:val="2B9F97"/>
          <w:sz w:val="22"/>
          <w:szCs w:val="32"/>
        </w:rPr>
        <w:t>Coeliaque</w:t>
      </w:r>
      <w:proofErr w:type="spellEnd"/>
    </w:p>
    <w:p w:rsidR="00B0699B" w:rsidRPr="00B0699B" w:rsidRDefault="00B0699B" w:rsidP="008D6017">
      <w:pPr>
        <w:pStyle w:val="NormalWeb"/>
        <w:shd w:val="clear" w:color="auto" w:fill="FFFFFF"/>
        <w:spacing w:before="0" w:beforeAutospacing="0" w:after="240" w:afterAutospacing="0"/>
        <w:jc w:val="both"/>
        <w:rPr>
          <w:rFonts w:asciiTheme="minorHAnsi" w:hAnsiTheme="minorHAnsi" w:cs="Arial"/>
          <w:color w:val="3B3B3B"/>
          <w:kern w:val="36"/>
        </w:rPr>
      </w:pPr>
      <w:r w:rsidRPr="00B0699B">
        <w:rPr>
          <w:rFonts w:asciiTheme="minorHAnsi" w:hAnsiTheme="minorHAnsi" w:cs="Arial"/>
          <w:color w:val="3B3B3B"/>
          <w:kern w:val="36"/>
        </w:rPr>
        <w:t>Pour expliquer le développement de la maladie coeliaque, les chercheurs émettent l’hypothèse suivante :</w:t>
      </w:r>
    </w:p>
    <w:p w:rsidR="00B0699B" w:rsidRPr="00B0699B" w:rsidRDefault="00B0699B" w:rsidP="008D6017">
      <w:pPr>
        <w:pStyle w:val="NormalWeb"/>
        <w:numPr>
          <w:ilvl w:val="0"/>
          <w:numId w:val="3"/>
        </w:numPr>
        <w:shd w:val="clear" w:color="auto" w:fill="FFFFFF"/>
        <w:spacing w:before="0" w:beforeAutospacing="0" w:after="240" w:afterAutospacing="0"/>
        <w:ind w:left="714" w:hanging="357"/>
        <w:jc w:val="both"/>
        <w:rPr>
          <w:rFonts w:asciiTheme="minorHAnsi" w:hAnsiTheme="minorHAnsi" w:cs="Arial"/>
          <w:color w:val="3B3B3B"/>
          <w:kern w:val="36"/>
        </w:rPr>
      </w:pPr>
      <w:r w:rsidRPr="00B0699B">
        <w:rPr>
          <w:rFonts w:asciiTheme="minorHAnsi" w:hAnsiTheme="minorHAnsi" w:cs="Arial"/>
          <w:color w:val="3B3B3B"/>
          <w:kern w:val="36"/>
        </w:rPr>
        <w:t xml:space="preserve">Après ingestion orale, la gliadine interagit avec la muqueuse du petit intestin provoquant la libération d’interleukine 8 par les entérocytes (peptide 261 à 277), </w:t>
      </w:r>
      <w:r w:rsidRPr="00744E05">
        <w:rPr>
          <w:rFonts w:asciiTheme="minorHAnsi" w:hAnsiTheme="minorHAnsi" w:cs="Arial"/>
          <w:color w:val="3B3B3B"/>
          <w:kern w:val="36"/>
        </w:rPr>
        <w:t>conduisant</w:t>
      </w:r>
      <w:r w:rsidRPr="00B0699B">
        <w:rPr>
          <w:rFonts w:asciiTheme="minorHAnsi" w:hAnsiTheme="minorHAnsi" w:cs="Arial"/>
          <w:color w:val="3B3B3B"/>
          <w:kern w:val="36"/>
        </w:rPr>
        <w:t xml:space="preserve"> immédiatement au recrutement des neutrophiles (cellules du système immunitaire) de la paroi intestinale.</w:t>
      </w:r>
    </w:p>
    <w:p w:rsidR="00B0699B" w:rsidRPr="00B0699B" w:rsidRDefault="00B0699B" w:rsidP="008D6017">
      <w:pPr>
        <w:pStyle w:val="NormalWeb"/>
        <w:numPr>
          <w:ilvl w:val="0"/>
          <w:numId w:val="3"/>
        </w:numPr>
        <w:shd w:val="clear" w:color="auto" w:fill="FFFFFF"/>
        <w:spacing w:before="0" w:beforeAutospacing="0" w:after="240" w:afterAutospacing="0"/>
        <w:jc w:val="both"/>
        <w:rPr>
          <w:rFonts w:asciiTheme="minorHAnsi" w:hAnsiTheme="minorHAnsi" w:cs="Arial"/>
          <w:color w:val="3B3B3B"/>
          <w:kern w:val="36"/>
        </w:rPr>
      </w:pPr>
      <w:r w:rsidRPr="00B0699B">
        <w:rPr>
          <w:rFonts w:asciiTheme="minorHAnsi" w:hAnsiTheme="minorHAnsi" w:cs="Arial"/>
          <w:color w:val="3B3B3B"/>
          <w:kern w:val="36"/>
        </w:rPr>
        <w:t>En même temps, les deux peptides qui augmentent la perméabilité intestinale (111 à 130 et 151 à 170) provoquent la libération de zonuline.</w:t>
      </w:r>
    </w:p>
    <w:p w:rsidR="00B0699B" w:rsidRPr="00B0699B" w:rsidRDefault="00B0699B" w:rsidP="008D6017">
      <w:pPr>
        <w:pStyle w:val="NormalWeb"/>
        <w:numPr>
          <w:ilvl w:val="0"/>
          <w:numId w:val="3"/>
        </w:numPr>
        <w:shd w:val="clear" w:color="auto" w:fill="FFFFFF"/>
        <w:spacing w:before="0" w:beforeAutospacing="0" w:after="240" w:afterAutospacing="0"/>
        <w:jc w:val="both"/>
        <w:rPr>
          <w:rFonts w:asciiTheme="minorHAnsi" w:hAnsiTheme="minorHAnsi" w:cs="Arial"/>
          <w:color w:val="3B3B3B"/>
          <w:kern w:val="36"/>
        </w:rPr>
      </w:pPr>
      <w:r w:rsidRPr="00B0699B">
        <w:rPr>
          <w:rFonts w:asciiTheme="minorHAnsi" w:hAnsiTheme="minorHAnsi" w:cs="Arial"/>
          <w:color w:val="3B3B3B"/>
          <w:kern w:val="36"/>
        </w:rPr>
        <w:t>Le désassemblage des jonctions serrées permet le passage de la gliadine par la voie para-cellulaire. En conséquence la gliadine est reconnue par les macrophages de la sous muqueuse intestinale comme étant un antigène toxique. Cette interaction gliadine/macrophage initie la voie de signalisation qui conduit à la mise en place d’un terrain pro-inflammatoire avec infiltration de cellules mononucléaires dans la sous-muqueuse.</w:t>
      </w:r>
    </w:p>
    <w:p w:rsidR="00B0699B" w:rsidRDefault="00B0699B" w:rsidP="008D6017">
      <w:pPr>
        <w:pStyle w:val="NormalWeb"/>
        <w:numPr>
          <w:ilvl w:val="0"/>
          <w:numId w:val="3"/>
        </w:numPr>
        <w:shd w:val="clear" w:color="auto" w:fill="FFFFFF"/>
        <w:spacing w:before="0" w:beforeAutospacing="0" w:after="240" w:afterAutospacing="0"/>
        <w:jc w:val="both"/>
        <w:rPr>
          <w:rFonts w:asciiTheme="minorHAnsi" w:hAnsiTheme="minorHAnsi" w:cs="Arial"/>
          <w:color w:val="3B3B3B"/>
          <w:kern w:val="36"/>
        </w:rPr>
      </w:pPr>
      <w:r w:rsidRPr="00B0699B">
        <w:rPr>
          <w:rFonts w:asciiTheme="minorHAnsi" w:hAnsiTheme="minorHAnsi" w:cs="Arial"/>
          <w:color w:val="3B3B3B"/>
          <w:kern w:val="36"/>
        </w:rPr>
        <w:t>La brèche initiale induite par la zonuline s’auto-entretient ensuite par ce processus inflammatoire, entraînant la lésion des villosités intestinales. La situation se normalise lorsque les patients passent à un régime sans gluten : les cytokines pro-inflammatoires et les taux sériques de zonuline diminuent, la barrière intestinale se reconstitue, les anticorps auto-immuns se normalisent et les dommages intestinaux s’arrêtent.</w:t>
      </w:r>
    </w:p>
    <w:p w:rsidR="00610F09" w:rsidRPr="00B0699B" w:rsidRDefault="00610F09" w:rsidP="008D6017">
      <w:pPr>
        <w:pStyle w:val="NormalWeb"/>
        <w:shd w:val="clear" w:color="auto" w:fill="FFFFFF"/>
        <w:spacing w:before="0" w:beforeAutospacing="0" w:after="240" w:afterAutospacing="0"/>
        <w:jc w:val="both"/>
        <w:rPr>
          <w:rFonts w:asciiTheme="minorHAnsi" w:hAnsiTheme="minorHAnsi" w:cs="Arial"/>
          <w:color w:val="3B3B3B"/>
          <w:kern w:val="36"/>
        </w:rPr>
      </w:pPr>
      <w:r>
        <w:rPr>
          <w:rFonts w:asciiTheme="minorHAnsi" w:hAnsiTheme="minorHAnsi" w:cs="Arial"/>
          <w:noProof/>
          <w:color w:val="3B3B3B"/>
          <w:kern w:val="36"/>
          <w:lang w:val="fr-FR" w:eastAsia="fr-FR"/>
        </w:rPr>
        <w:drawing>
          <wp:inline distT="0" distB="0" distL="0" distR="0">
            <wp:extent cx="5532591" cy="4117975"/>
            <wp:effectExtent l="25400" t="0" r="4609"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uline-plaisiretnourriture-nathaliecoach-gluten.png"/>
                    <pic:cNvPicPr/>
                  </pic:nvPicPr>
                  <pic:blipFill>
                    <a:blip r:embed="rId11">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5530239" cy="4116225"/>
                    </a:xfrm>
                    <a:prstGeom prst="rect">
                      <a:avLst/>
                    </a:prstGeom>
                  </pic:spPr>
                </pic:pic>
              </a:graphicData>
            </a:graphic>
          </wp:inline>
        </w:drawing>
      </w:r>
    </w:p>
    <w:p w:rsidR="00B0699B" w:rsidRPr="00B0699B" w:rsidRDefault="00B0699B" w:rsidP="008D6017">
      <w:pPr>
        <w:pStyle w:val="NormalWeb"/>
        <w:shd w:val="clear" w:color="auto" w:fill="FFFFFF"/>
        <w:spacing w:before="0" w:beforeAutospacing="0" w:after="240" w:afterAutospacing="0"/>
        <w:jc w:val="both"/>
        <w:rPr>
          <w:rFonts w:asciiTheme="minorHAnsi" w:hAnsiTheme="minorHAnsi" w:cs="Arial"/>
          <w:color w:val="3B3B3B"/>
          <w:kern w:val="36"/>
        </w:rPr>
      </w:pPr>
      <w:r w:rsidRPr="00B0699B">
        <w:rPr>
          <w:rFonts w:asciiTheme="minorHAnsi" w:hAnsiTheme="minorHAnsi" w:cs="Arial"/>
          <w:color w:val="3B3B3B"/>
          <w:kern w:val="36"/>
        </w:rPr>
        <w:t>Par ailleurs, la maladie coeliaque est la seule maladie auto-immune pour laquelle il existe une corrélation directe entre 3 éléments bien identifiables : un gène HLA (le phénotype HP2-1 hétérozygote avec surexpression du récepteur CXCR3 prédispose particulièrement à la maladie), une réponse auto-immune humorale spécifique dirigée contre la transglutaminase tissulaire et un facteur environnemental bien défini: la gliadine du gluten.</w:t>
      </w:r>
    </w:p>
    <w:p w:rsidR="00B0699B" w:rsidRDefault="00B0699B" w:rsidP="008D6017">
      <w:pPr>
        <w:pStyle w:val="NormalWeb"/>
        <w:shd w:val="clear" w:color="auto" w:fill="FFFFFF"/>
        <w:spacing w:before="0" w:beforeAutospacing="0" w:after="240" w:afterAutospacing="0"/>
        <w:jc w:val="both"/>
        <w:rPr>
          <w:rFonts w:asciiTheme="minorHAnsi" w:hAnsiTheme="minorHAnsi" w:cs="Arial"/>
          <w:color w:val="3B3B3B"/>
          <w:kern w:val="36"/>
        </w:rPr>
      </w:pPr>
      <w:r w:rsidRPr="00B0699B">
        <w:rPr>
          <w:rFonts w:asciiTheme="minorHAnsi" w:hAnsiTheme="minorHAnsi" w:cs="Arial"/>
          <w:color w:val="3B3B3B"/>
          <w:kern w:val="36"/>
        </w:rPr>
        <w:t>C’est la conjonction de ces 3 facteurs qui conduit au développement de la maladie. Dans des circonstances physiologiques normales où les jonctions serrées conservent leur intégrité et jouent correctement leur rôle de barrière sélective, la gliadine ne s’infiltre pas par la voie paracellulaire et n’entraîne pas de réponse immunitaire anormale contre la transglutaminase, empêchant ainsi les lésions tissulaires.</w:t>
      </w:r>
    </w:p>
    <w:p w:rsidR="00731586" w:rsidRPr="00731586" w:rsidRDefault="00731586" w:rsidP="008D6017">
      <w:pPr>
        <w:spacing w:before="360" w:after="240"/>
        <w:jc w:val="both"/>
        <w:rPr>
          <w:rFonts w:eastAsiaTheme="majorEastAsia" w:cstheme="majorBidi"/>
          <w:b/>
          <w:bCs/>
          <w:caps/>
          <w:color w:val="2B9F97"/>
          <w:sz w:val="22"/>
          <w:szCs w:val="32"/>
        </w:rPr>
      </w:pPr>
      <w:r>
        <w:rPr>
          <w:rFonts w:eastAsiaTheme="majorEastAsia" w:cstheme="majorBidi"/>
          <w:b/>
          <w:bCs/>
          <w:caps/>
          <w:color w:val="2B9F97"/>
          <w:sz w:val="22"/>
          <w:szCs w:val="32"/>
        </w:rPr>
        <w:t xml:space="preserve">Autres maladies chroniques </w:t>
      </w:r>
      <w:r w:rsidRPr="00731586">
        <w:rPr>
          <w:rFonts w:eastAsiaTheme="majorEastAsia" w:cstheme="majorBidi"/>
          <w:b/>
          <w:bCs/>
          <w:caps/>
          <w:color w:val="2B9F97"/>
          <w:sz w:val="22"/>
          <w:szCs w:val="32"/>
        </w:rPr>
        <w:t>inflammatoires</w:t>
      </w:r>
    </w:p>
    <w:p w:rsidR="00B0699B" w:rsidRPr="00B0699B" w:rsidRDefault="00B0699B" w:rsidP="008D6017">
      <w:pPr>
        <w:spacing w:before="100" w:beforeAutospacing="1" w:after="240"/>
        <w:jc w:val="both"/>
        <w:outlineLvl w:val="0"/>
        <w:rPr>
          <w:rFonts w:eastAsia="Times New Roman" w:cs="Arial"/>
          <w:color w:val="3B3B3B"/>
          <w:kern w:val="36"/>
          <w:lang w:eastAsia="fr-BE"/>
        </w:rPr>
      </w:pPr>
      <w:r w:rsidRPr="00B0699B">
        <w:rPr>
          <w:rFonts w:eastAsia="Times New Roman" w:cs="Arial"/>
          <w:color w:val="3B3B3B"/>
          <w:kern w:val="36"/>
          <w:lang w:eastAsia="fr-BE"/>
        </w:rPr>
        <w:t>Outre la maladie cœliaque, de plus en plus de maladies sont reconnues comme directement liées aux altérations de l’étanchéité de la paroi intestinale.</w:t>
      </w:r>
    </w:p>
    <w:p w:rsidR="00B0699B" w:rsidRPr="00B0699B" w:rsidRDefault="00B0699B" w:rsidP="008D6017">
      <w:pPr>
        <w:spacing w:before="100" w:beforeAutospacing="1" w:after="240"/>
        <w:jc w:val="both"/>
        <w:outlineLvl w:val="0"/>
        <w:rPr>
          <w:rFonts w:eastAsia="Times New Roman" w:cs="Arial"/>
          <w:color w:val="3B3B3B"/>
          <w:kern w:val="36"/>
          <w:lang w:eastAsia="fr-BE"/>
        </w:rPr>
      </w:pPr>
      <w:r w:rsidRPr="00B0699B">
        <w:rPr>
          <w:rFonts w:eastAsia="Times New Roman" w:cs="Arial"/>
          <w:color w:val="3B3B3B"/>
          <w:kern w:val="36"/>
          <w:lang w:eastAsia="fr-BE"/>
        </w:rPr>
        <w:t>Parmi elles, on retrouve les maladies auto-immunes comme le diabète de type I, le sclérose en plaque ou encore la polyarthrite rhumatoïde. Dans ces pathologies, les jonctions serrées laissent passer des antigènes en provenance du milieu intestinal qui activent anormalement le système immunitaire. Il produit des anticorps dirigés contre ces antigènes qui peuvent également cibler certains tissus ou organes du corps selon les prédispositions génétiques de chacun.</w:t>
      </w:r>
    </w:p>
    <w:p w:rsidR="00B0699B" w:rsidRPr="00B0699B" w:rsidRDefault="00B0699B" w:rsidP="008D6017">
      <w:pPr>
        <w:spacing w:before="100" w:beforeAutospacing="1" w:after="240"/>
        <w:jc w:val="both"/>
        <w:outlineLvl w:val="0"/>
        <w:rPr>
          <w:rFonts w:eastAsia="Times New Roman" w:cs="Arial"/>
          <w:color w:val="3B3B3B"/>
          <w:kern w:val="36"/>
          <w:lang w:eastAsia="fr-BE"/>
        </w:rPr>
      </w:pPr>
      <w:r w:rsidRPr="00B0699B">
        <w:rPr>
          <w:rFonts w:eastAsia="Times New Roman" w:cs="Arial"/>
          <w:color w:val="3B3B3B"/>
          <w:kern w:val="36"/>
          <w:lang w:eastAsia="fr-BE"/>
        </w:rPr>
        <w:t>L’hyperperméabilité intestinale est également impliquée dans le développement des cancers, des infections et des allergies (notamment l’asthme).</w:t>
      </w:r>
    </w:p>
    <w:p w:rsidR="00B0699B" w:rsidRPr="00B0699B" w:rsidRDefault="00B0699B" w:rsidP="008D6017">
      <w:pPr>
        <w:spacing w:before="100" w:beforeAutospacing="1" w:after="240"/>
        <w:jc w:val="both"/>
        <w:outlineLvl w:val="0"/>
        <w:rPr>
          <w:rFonts w:eastAsia="Times New Roman" w:cs="Arial"/>
          <w:color w:val="3B3B3B"/>
          <w:kern w:val="36"/>
          <w:lang w:eastAsia="fr-BE"/>
        </w:rPr>
      </w:pPr>
      <w:r w:rsidRPr="00B0699B">
        <w:rPr>
          <w:rFonts w:eastAsia="Times New Roman" w:cs="Arial"/>
          <w:color w:val="3B3B3B"/>
          <w:kern w:val="36"/>
          <w:lang w:eastAsia="fr-BE"/>
        </w:rPr>
        <w:t>Il est généralement admis que c’est la conjonction des facteurs environnementaux et des prédispositions génétiques de chacun (notamment via le système HLA) qui est à l’origine de cette</w:t>
      </w:r>
      <w:r w:rsidR="008D6017">
        <w:rPr>
          <w:rFonts w:eastAsia="Times New Roman" w:cs="Arial"/>
          <w:color w:val="3B3B3B"/>
          <w:kern w:val="36"/>
          <w:lang w:eastAsia="fr-BE"/>
        </w:rPr>
        <w:t xml:space="preserve"> </w:t>
      </w:r>
      <w:r w:rsidRPr="00B0699B">
        <w:rPr>
          <w:rFonts w:eastAsia="Times New Roman" w:cs="Arial"/>
          <w:color w:val="3B3B3B"/>
          <w:kern w:val="36"/>
          <w:lang w:eastAsia="fr-BE"/>
        </w:rPr>
        <w:t>réponse immunitaire aberrante et qui conduit à l’une ou l’autre de ces maladies. Pourtant, toute pathologie confondue, seules 10% des personnes présentant un facteur de risque génétique développent effectivement la maladie, ce qui prouve que les facteurs environnementaux restent prépondérants.</w:t>
      </w:r>
    </w:p>
    <w:p w:rsidR="00B0699B" w:rsidRPr="00B0699B" w:rsidRDefault="008A4134" w:rsidP="008D6017">
      <w:pPr>
        <w:spacing w:before="100" w:beforeAutospacing="1" w:after="240"/>
        <w:jc w:val="both"/>
        <w:outlineLvl w:val="0"/>
        <w:rPr>
          <w:rFonts w:eastAsia="Times New Roman" w:cs="Arial"/>
          <w:color w:val="3B3B3B"/>
          <w:kern w:val="36"/>
          <w:lang w:eastAsia="fr-BE"/>
        </w:rPr>
      </w:pPr>
      <w:r>
        <w:rPr>
          <w:rFonts w:eastAsia="Times New Roman" w:cs="Arial"/>
          <w:color w:val="3B3B3B"/>
          <w:kern w:val="36"/>
          <w:lang w:eastAsia="fr-BE"/>
        </w:rPr>
        <w:t>C</w:t>
      </w:r>
      <w:r w:rsidR="00B0699B" w:rsidRPr="00B0699B">
        <w:rPr>
          <w:rFonts w:eastAsia="Times New Roman" w:cs="Arial"/>
          <w:color w:val="3B3B3B"/>
          <w:kern w:val="36"/>
          <w:lang w:eastAsia="fr-BE"/>
        </w:rPr>
        <w:t xml:space="preserve">es maladies peuvent être freinées ou prévenues par la restauration de la perméabilité de la barrière intestinale. Dans cette optique, en plus des protocoles </w:t>
      </w:r>
      <w:proofErr w:type="spellStart"/>
      <w:r w:rsidR="00B0699B" w:rsidRPr="00B0699B">
        <w:rPr>
          <w:rFonts w:eastAsia="Times New Roman" w:cs="Arial"/>
          <w:color w:val="3B3B3B"/>
          <w:kern w:val="36"/>
          <w:lang w:eastAsia="fr-BE"/>
        </w:rPr>
        <w:t>nutrithérapeutiques</w:t>
      </w:r>
      <w:proofErr w:type="spellEnd"/>
      <w:r w:rsidR="00B0699B" w:rsidRPr="00B0699B">
        <w:rPr>
          <w:rFonts w:eastAsia="Times New Roman" w:cs="Arial"/>
          <w:color w:val="3B3B3B"/>
          <w:kern w:val="36"/>
          <w:lang w:eastAsia="fr-BE"/>
        </w:rPr>
        <w:t xml:space="preserve"> de restauration de la bar</w:t>
      </w:r>
      <w:r w:rsidR="00E10403">
        <w:rPr>
          <w:rFonts w:eastAsia="Times New Roman" w:cs="Arial"/>
          <w:color w:val="3B3B3B"/>
          <w:kern w:val="36"/>
          <w:lang w:eastAsia="fr-BE"/>
        </w:rPr>
        <w:t>rière intestinale (glutamine, Zinc</w:t>
      </w:r>
      <w:r w:rsidR="00B0699B" w:rsidRPr="00B0699B">
        <w:rPr>
          <w:rFonts w:eastAsia="Times New Roman" w:cs="Arial"/>
          <w:color w:val="3B3B3B"/>
          <w:kern w:val="36"/>
          <w:lang w:eastAsia="fr-BE"/>
        </w:rPr>
        <w:t xml:space="preserve">, vitamine D, </w:t>
      </w:r>
      <w:proofErr w:type="spellStart"/>
      <w:r w:rsidR="00B0699B" w:rsidRPr="00B0699B">
        <w:rPr>
          <w:rFonts w:eastAsia="Times New Roman" w:cs="Arial"/>
          <w:color w:val="3B3B3B"/>
          <w:kern w:val="36"/>
          <w:lang w:eastAsia="fr-BE"/>
        </w:rPr>
        <w:t>oméga-3</w:t>
      </w:r>
      <w:proofErr w:type="spellEnd"/>
      <w:r w:rsidR="00B0699B" w:rsidRPr="00B0699B">
        <w:rPr>
          <w:rFonts w:eastAsia="Times New Roman" w:cs="Arial"/>
          <w:color w:val="3B3B3B"/>
          <w:kern w:val="36"/>
          <w:lang w:eastAsia="fr-BE"/>
        </w:rPr>
        <w:t xml:space="preserve">, pré et </w:t>
      </w:r>
      <w:proofErr w:type="spellStart"/>
      <w:r w:rsidR="00B0699B" w:rsidRPr="00B0699B">
        <w:rPr>
          <w:rFonts w:eastAsia="Times New Roman" w:cs="Arial"/>
          <w:color w:val="3B3B3B"/>
          <w:kern w:val="36"/>
          <w:lang w:eastAsia="fr-BE"/>
        </w:rPr>
        <w:t>pro-biotiques</w:t>
      </w:r>
      <w:proofErr w:type="spellEnd"/>
      <w:proofErr w:type="gramStart"/>
      <w:r w:rsidR="00B0699B" w:rsidRPr="00B0699B">
        <w:rPr>
          <w:rFonts w:eastAsia="Times New Roman" w:cs="Arial"/>
          <w:color w:val="3B3B3B"/>
          <w:kern w:val="36"/>
          <w:lang w:eastAsia="fr-BE"/>
        </w:rPr>
        <w:t>, …)</w:t>
      </w:r>
      <w:proofErr w:type="gramEnd"/>
      <w:r w:rsidR="00B0699B" w:rsidRPr="00B0699B">
        <w:rPr>
          <w:rFonts w:eastAsia="Times New Roman" w:cs="Arial"/>
          <w:color w:val="3B3B3B"/>
          <w:kern w:val="36"/>
          <w:lang w:eastAsia="fr-BE"/>
        </w:rPr>
        <w:t>, l’éviction du gluten de l’alimentation des personnes atteintes de maladies auto-immunes ou inflammatoires chroniques (ou à risque de l’être) apparaît comme une évidence au regard du principe de précaution.</w:t>
      </w:r>
    </w:p>
    <w:p w:rsidR="00B0699B" w:rsidRPr="00B0699B" w:rsidRDefault="00B0699B" w:rsidP="008D6017">
      <w:pPr>
        <w:keepNext/>
        <w:spacing w:before="480" w:after="240"/>
        <w:jc w:val="both"/>
        <w:rPr>
          <w:rFonts w:eastAsiaTheme="majorEastAsia" w:cstheme="majorBidi"/>
          <w:b/>
          <w:bCs/>
          <w:caps/>
          <w:color w:val="2B9F97"/>
          <w:sz w:val="32"/>
          <w:szCs w:val="32"/>
        </w:rPr>
      </w:pPr>
      <w:r w:rsidRPr="00B0699B">
        <w:rPr>
          <w:rFonts w:eastAsiaTheme="majorEastAsia" w:cstheme="majorBidi"/>
          <w:b/>
          <w:bCs/>
          <w:caps/>
          <w:color w:val="2B9F97"/>
          <w:sz w:val="32"/>
          <w:szCs w:val="32"/>
        </w:rPr>
        <w:t xml:space="preserve">Des traitements </w:t>
      </w:r>
      <w:proofErr w:type="spellStart"/>
      <w:r w:rsidRPr="00B0699B">
        <w:rPr>
          <w:rFonts w:eastAsiaTheme="majorEastAsia" w:cstheme="majorBidi"/>
          <w:b/>
          <w:bCs/>
          <w:caps/>
          <w:color w:val="2B9F97"/>
          <w:sz w:val="32"/>
          <w:szCs w:val="32"/>
        </w:rPr>
        <w:t>anti-zonuline</w:t>
      </w:r>
      <w:proofErr w:type="spellEnd"/>
      <w:r w:rsidRPr="00B0699B">
        <w:rPr>
          <w:rFonts w:eastAsiaTheme="majorEastAsia" w:cstheme="majorBidi"/>
          <w:b/>
          <w:bCs/>
          <w:caps/>
          <w:color w:val="2B9F97"/>
          <w:sz w:val="32"/>
          <w:szCs w:val="32"/>
        </w:rPr>
        <w:t xml:space="preserve"> en cours d’expérimentation</w:t>
      </w:r>
    </w:p>
    <w:p w:rsidR="00B0699B" w:rsidRPr="00B0699B" w:rsidRDefault="00B0699B" w:rsidP="008D6017">
      <w:pPr>
        <w:keepNext/>
        <w:spacing w:before="100" w:beforeAutospacing="1" w:after="240"/>
        <w:jc w:val="both"/>
        <w:outlineLvl w:val="0"/>
        <w:rPr>
          <w:rFonts w:eastAsia="Times New Roman" w:cs="Arial"/>
          <w:color w:val="3B3B3B"/>
          <w:kern w:val="36"/>
          <w:lang w:eastAsia="fr-BE"/>
        </w:rPr>
      </w:pPr>
      <w:r w:rsidRPr="00B0699B">
        <w:rPr>
          <w:rFonts w:eastAsia="Times New Roman" w:cs="Arial"/>
          <w:color w:val="3B3B3B"/>
          <w:kern w:val="36"/>
          <w:lang w:eastAsia="fr-BE"/>
        </w:rPr>
        <w:t xml:space="preserve">Des expérimentations prometteuses recourant à un inhibiteur de la </w:t>
      </w:r>
      <w:proofErr w:type="spellStart"/>
      <w:r w:rsidRPr="00B0699B">
        <w:rPr>
          <w:rFonts w:eastAsia="Times New Roman" w:cs="Arial"/>
          <w:color w:val="3B3B3B"/>
          <w:kern w:val="36"/>
          <w:lang w:eastAsia="fr-BE"/>
        </w:rPr>
        <w:t>zonuline</w:t>
      </w:r>
      <w:proofErr w:type="spellEnd"/>
      <w:r w:rsidRPr="00B0699B">
        <w:rPr>
          <w:rFonts w:eastAsia="Times New Roman" w:cs="Arial"/>
          <w:color w:val="3B3B3B"/>
          <w:kern w:val="36"/>
          <w:lang w:eastAsia="fr-BE"/>
        </w:rPr>
        <w:t xml:space="preserve"> ont été effectuées sur des rats diabétiques. L’administration chez ces rats d’un </w:t>
      </w:r>
      <w:r w:rsidR="000A46B3">
        <w:rPr>
          <w:rFonts w:eastAsia="Times New Roman" w:cs="Arial"/>
          <w:color w:val="3B3B3B"/>
          <w:kern w:val="36"/>
          <w:lang w:eastAsia="fr-BE"/>
        </w:rPr>
        <w:t xml:space="preserve">prétraitement avec un </w:t>
      </w:r>
      <w:r w:rsidRPr="00B0699B">
        <w:rPr>
          <w:rFonts w:eastAsia="Times New Roman" w:cs="Arial"/>
          <w:color w:val="3B3B3B"/>
          <w:kern w:val="36"/>
          <w:lang w:eastAsia="fr-BE"/>
        </w:rPr>
        <w:t xml:space="preserve">inhibiteur de la </w:t>
      </w:r>
      <w:proofErr w:type="spellStart"/>
      <w:r w:rsidRPr="00B0699B">
        <w:rPr>
          <w:rFonts w:eastAsia="Times New Roman" w:cs="Arial"/>
          <w:color w:val="3B3B3B"/>
          <w:kern w:val="36"/>
          <w:lang w:eastAsia="fr-BE"/>
        </w:rPr>
        <w:t>zonuline</w:t>
      </w:r>
      <w:proofErr w:type="spellEnd"/>
      <w:r w:rsidRPr="00B0699B">
        <w:rPr>
          <w:rFonts w:eastAsia="Times New Roman" w:cs="Arial"/>
          <w:color w:val="3B3B3B"/>
          <w:kern w:val="36"/>
          <w:lang w:eastAsia="fr-BE"/>
        </w:rPr>
        <w:t xml:space="preserve"> a permis d’empêcher la perte d’étanchéité intestinale et de prévenir l’apparition des anticorps auto-immuns menant à la destru</w:t>
      </w:r>
      <w:r w:rsidR="00B575D9">
        <w:rPr>
          <w:rFonts w:eastAsia="Times New Roman" w:cs="Arial"/>
          <w:color w:val="3B3B3B"/>
          <w:kern w:val="36"/>
          <w:lang w:eastAsia="fr-BE"/>
        </w:rPr>
        <w:t xml:space="preserve">ction les îlots de </w:t>
      </w:r>
      <w:proofErr w:type="spellStart"/>
      <w:r w:rsidR="00B575D9">
        <w:rPr>
          <w:rFonts w:eastAsia="Times New Roman" w:cs="Arial"/>
          <w:color w:val="3B3B3B"/>
          <w:kern w:val="36"/>
          <w:lang w:eastAsia="fr-BE"/>
        </w:rPr>
        <w:t>Lang</w:t>
      </w:r>
      <w:r w:rsidRPr="00B0699B">
        <w:rPr>
          <w:rFonts w:eastAsia="Times New Roman" w:cs="Arial"/>
          <w:color w:val="3B3B3B"/>
          <w:kern w:val="36"/>
          <w:lang w:eastAsia="fr-BE"/>
        </w:rPr>
        <w:t>er</w:t>
      </w:r>
      <w:r w:rsidR="00B575D9">
        <w:rPr>
          <w:rFonts w:eastAsia="Times New Roman" w:cs="Arial"/>
          <w:color w:val="3B3B3B"/>
          <w:kern w:val="36"/>
          <w:lang w:eastAsia="fr-BE"/>
        </w:rPr>
        <w:t>h</w:t>
      </w:r>
      <w:r w:rsidRPr="00B0699B">
        <w:rPr>
          <w:rFonts w:eastAsia="Times New Roman" w:cs="Arial"/>
          <w:color w:val="3B3B3B"/>
          <w:kern w:val="36"/>
          <w:lang w:eastAsia="fr-BE"/>
        </w:rPr>
        <w:t>ans</w:t>
      </w:r>
      <w:proofErr w:type="spellEnd"/>
      <w:r w:rsidR="000A46B3">
        <w:rPr>
          <w:rFonts w:eastAsia="Times New Roman" w:cs="Arial"/>
          <w:color w:val="3B3B3B"/>
          <w:kern w:val="36"/>
          <w:lang w:eastAsia="fr-BE"/>
        </w:rPr>
        <w:t xml:space="preserve"> du pancréas</w:t>
      </w:r>
      <w:r w:rsidRPr="00B0699B">
        <w:rPr>
          <w:rFonts w:eastAsia="Times New Roman" w:cs="Arial"/>
          <w:color w:val="3B3B3B"/>
          <w:kern w:val="36"/>
          <w:lang w:eastAsia="fr-BE"/>
        </w:rPr>
        <w:t>.</w:t>
      </w:r>
    </w:p>
    <w:p w:rsidR="00B0699B" w:rsidRPr="00B0699B" w:rsidRDefault="00B0699B" w:rsidP="008D6017">
      <w:pPr>
        <w:spacing w:before="100" w:beforeAutospacing="1" w:after="240"/>
        <w:jc w:val="both"/>
        <w:outlineLvl w:val="0"/>
        <w:rPr>
          <w:rFonts w:eastAsia="Times New Roman" w:cs="Arial"/>
          <w:color w:val="3B3B3B"/>
          <w:kern w:val="36"/>
          <w:lang w:eastAsia="fr-BE"/>
        </w:rPr>
      </w:pPr>
      <w:r w:rsidRPr="00B0699B">
        <w:rPr>
          <w:rFonts w:eastAsia="Times New Roman" w:cs="Arial"/>
          <w:color w:val="3B3B3B"/>
          <w:kern w:val="36"/>
          <w:lang w:eastAsia="fr-BE"/>
        </w:rPr>
        <w:t xml:space="preserve">Dans le même ordre d’idées, une étude randomisée en double aveugle contre placebo a été effectuée chez des patients atteints de maladie </w:t>
      </w:r>
      <w:proofErr w:type="spellStart"/>
      <w:r w:rsidRPr="00B0699B">
        <w:rPr>
          <w:rFonts w:eastAsia="Times New Roman" w:cs="Arial"/>
          <w:color w:val="3B3B3B"/>
          <w:kern w:val="36"/>
          <w:lang w:eastAsia="fr-BE"/>
        </w:rPr>
        <w:t>coeliaque</w:t>
      </w:r>
      <w:proofErr w:type="spellEnd"/>
      <w:r w:rsidRPr="00B0699B">
        <w:rPr>
          <w:rFonts w:eastAsia="Times New Roman" w:cs="Arial"/>
          <w:color w:val="3B3B3B"/>
          <w:kern w:val="36"/>
          <w:lang w:eastAsia="fr-BE"/>
        </w:rPr>
        <w:t xml:space="preserve"> afin de déterminer la tolérance, la sécurité et l’efficacité d’un traitement inhibiteur de la </w:t>
      </w:r>
      <w:proofErr w:type="spellStart"/>
      <w:r w:rsidRPr="00B0699B">
        <w:rPr>
          <w:rFonts w:eastAsia="Times New Roman" w:cs="Arial"/>
          <w:color w:val="3B3B3B"/>
          <w:kern w:val="36"/>
          <w:lang w:eastAsia="fr-BE"/>
        </w:rPr>
        <w:t>zonuline</w:t>
      </w:r>
      <w:proofErr w:type="spellEnd"/>
      <w:r w:rsidRPr="00B0699B">
        <w:rPr>
          <w:rFonts w:eastAsia="Times New Roman" w:cs="Arial"/>
          <w:color w:val="3B3B3B"/>
          <w:kern w:val="36"/>
          <w:lang w:eastAsia="fr-BE"/>
        </w:rPr>
        <w:t xml:space="preserve">. Après une exposition aiguë au gluten, une augmentation de 70 % de la perméabilité intestinale a été observée dans le groupe placebo alors que l’étanchéité de la barrière intestinale du groupe soumis au traitement inhibiteur de la </w:t>
      </w:r>
      <w:proofErr w:type="spellStart"/>
      <w:r w:rsidRPr="00B0699B">
        <w:rPr>
          <w:rFonts w:eastAsia="Times New Roman" w:cs="Arial"/>
          <w:color w:val="3B3B3B"/>
          <w:kern w:val="36"/>
          <w:lang w:eastAsia="fr-BE"/>
        </w:rPr>
        <w:t>zonuline</w:t>
      </w:r>
      <w:proofErr w:type="spellEnd"/>
      <w:r w:rsidRPr="00B0699B">
        <w:rPr>
          <w:rFonts w:eastAsia="Times New Roman" w:cs="Arial"/>
          <w:color w:val="3B3B3B"/>
          <w:kern w:val="36"/>
          <w:lang w:eastAsia="fr-BE"/>
        </w:rPr>
        <w:t xml:space="preserve"> n’a subi aucune dégradation. Par ailleurs, le traitement </w:t>
      </w:r>
      <w:proofErr w:type="spellStart"/>
      <w:r w:rsidRPr="00B0699B">
        <w:rPr>
          <w:rFonts w:eastAsia="Times New Roman" w:cs="Arial"/>
          <w:color w:val="3B3B3B"/>
          <w:kern w:val="36"/>
          <w:lang w:eastAsia="fr-BE"/>
        </w:rPr>
        <w:t>anti-zonuline</w:t>
      </w:r>
      <w:proofErr w:type="spellEnd"/>
      <w:r w:rsidRPr="00B0699B">
        <w:rPr>
          <w:rFonts w:eastAsia="Times New Roman" w:cs="Arial"/>
          <w:color w:val="3B3B3B"/>
          <w:kern w:val="36"/>
          <w:lang w:eastAsia="fr-BE"/>
        </w:rPr>
        <w:t xml:space="preserve"> a été bien toléré.</w:t>
      </w:r>
    </w:p>
    <w:p w:rsidR="00B0699B" w:rsidRDefault="00B0699B" w:rsidP="008D6017">
      <w:pPr>
        <w:spacing w:before="100" w:beforeAutospacing="1" w:after="240"/>
        <w:jc w:val="both"/>
        <w:outlineLvl w:val="0"/>
        <w:rPr>
          <w:rFonts w:eastAsia="Times New Roman" w:cs="Arial"/>
          <w:color w:val="3B3B3B"/>
          <w:kern w:val="36"/>
          <w:lang w:eastAsia="fr-BE"/>
        </w:rPr>
      </w:pPr>
      <w:r w:rsidRPr="00B0699B">
        <w:rPr>
          <w:rFonts w:eastAsia="Times New Roman" w:cs="Arial"/>
          <w:color w:val="3B3B3B"/>
          <w:kern w:val="36"/>
          <w:lang w:eastAsia="fr-BE"/>
        </w:rPr>
        <w:t xml:space="preserve">Ce traitement constitue donc un espoir important non seulement pour les malades </w:t>
      </w:r>
      <w:proofErr w:type="spellStart"/>
      <w:r w:rsidRPr="00B0699B">
        <w:rPr>
          <w:rFonts w:eastAsia="Times New Roman" w:cs="Arial"/>
          <w:color w:val="3B3B3B"/>
          <w:kern w:val="36"/>
          <w:lang w:eastAsia="fr-BE"/>
        </w:rPr>
        <w:t>coeliaques</w:t>
      </w:r>
      <w:proofErr w:type="spellEnd"/>
      <w:r w:rsidRPr="00B0699B">
        <w:rPr>
          <w:rFonts w:eastAsia="Times New Roman" w:cs="Arial"/>
          <w:color w:val="3B3B3B"/>
          <w:kern w:val="36"/>
          <w:lang w:eastAsia="fr-BE"/>
        </w:rPr>
        <w:t xml:space="preserve"> mais également pour les personnes atteintes d’allergies et de maladies auto-immunes diverses.</w:t>
      </w:r>
    </w:p>
    <w:p w:rsidR="00296D44" w:rsidRPr="00F27DD1" w:rsidRDefault="00296D44" w:rsidP="00F27DD1">
      <w:pPr>
        <w:pStyle w:val="NormalWeb"/>
        <w:shd w:val="clear" w:color="auto" w:fill="FFFFFF"/>
        <w:spacing w:before="0" w:beforeAutospacing="0" w:after="240" w:afterAutospacing="0"/>
        <w:jc w:val="both"/>
      </w:pPr>
      <w:r>
        <w:rPr>
          <w:rFonts w:cs="Arial"/>
          <w:color w:val="3B3B3B"/>
          <w:kern w:val="36"/>
        </w:rPr>
        <w:t>Hélène Wacquier</w:t>
      </w:r>
      <w:r w:rsidR="00F27DD1">
        <w:rPr>
          <w:rFonts w:cs="Arial"/>
          <w:color w:val="3B3B3B"/>
          <w:kern w:val="36"/>
        </w:rPr>
        <w:t xml:space="preserve"> - </w:t>
      </w:r>
      <w:r w:rsidR="00F27DD1">
        <w:t>Nutrithérapeute</w:t>
      </w:r>
    </w:p>
    <w:p w:rsidR="00731586" w:rsidRPr="000F3501" w:rsidRDefault="00AA6207" w:rsidP="008D6017">
      <w:pPr>
        <w:spacing w:before="360" w:after="240"/>
        <w:jc w:val="both"/>
        <w:rPr>
          <w:rFonts w:eastAsiaTheme="majorEastAsia" w:cstheme="majorBidi"/>
          <w:b/>
          <w:bCs/>
          <w:caps/>
          <w:color w:val="2B9F97"/>
          <w:sz w:val="22"/>
          <w:szCs w:val="32"/>
        </w:rPr>
      </w:pPr>
      <w:r w:rsidRPr="000F3501">
        <w:rPr>
          <w:rFonts w:eastAsiaTheme="majorEastAsia" w:cstheme="majorBidi"/>
          <w:b/>
          <w:bCs/>
          <w:caps/>
          <w:color w:val="2B9F97"/>
          <w:sz w:val="22"/>
          <w:szCs w:val="32"/>
        </w:rPr>
        <w:t>Sources et r</w:t>
      </w:r>
      <w:r w:rsidR="00057DFE">
        <w:rPr>
          <w:rFonts w:eastAsiaTheme="majorEastAsia" w:cstheme="majorBidi"/>
          <w:b/>
          <w:bCs/>
          <w:caps/>
          <w:color w:val="2B9F97"/>
          <w:sz w:val="22"/>
          <w:szCs w:val="32"/>
        </w:rPr>
        <w:t>éférences</w:t>
      </w:r>
    </w:p>
    <w:p w:rsidR="00B0699B" w:rsidRPr="003307A2" w:rsidRDefault="00B0699B" w:rsidP="008D6017">
      <w:pPr>
        <w:pStyle w:val="Paragraphedeliste"/>
        <w:numPr>
          <w:ilvl w:val="0"/>
          <w:numId w:val="4"/>
        </w:numPr>
        <w:spacing w:before="100" w:beforeAutospacing="1" w:after="120"/>
        <w:ind w:left="714" w:hanging="357"/>
        <w:contextualSpacing w:val="0"/>
        <w:jc w:val="both"/>
        <w:outlineLvl w:val="0"/>
        <w:rPr>
          <w:rFonts w:eastAsia="Times New Roman" w:cs="Arial"/>
          <w:color w:val="3B3B3B"/>
          <w:kern w:val="36"/>
          <w:sz w:val="18"/>
          <w:lang w:eastAsia="fr-BE"/>
        </w:rPr>
      </w:pPr>
      <w:proofErr w:type="spellStart"/>
      <w:r w:rsidRPr="003307A2">
        <w:rPr>
          <w:rFonts w:eastAsia="Times New Roman" w:cs="Arial"/>
          <w:color w:val="3B3B3B"/>
          <w:kern w:val="36"/>
          <w:sz w:val="18"/>
          <w:lang w:eastAsia="fr-BE"/>
        </w:rPr>
        <w:t>Vanuytsel</w:t>
      </w:r>
      <w:proofErr w:type="spellEnd"/>
      <w:r w:rsidRPr="003307A2">
        <w:rPr>
          <w:rFonts w:eastAsia="Times New Roman" w:cs="Arial"/>
          <w:color w:val="3B3B3B"/>
          <w:kern w:val="36"/>
          <w:sz w:val="18"/>
          <w:lang w:eastAsia="fr-BE"/>
        </w:rPr>
        <w:t>, T; et al. (</w:t>
      </w:r>
      <w:proofErr w:type="spellStart"/>
      <w:r w:rsidRPr="003307A2">
        <w:rPr>
          <w:rFonts w:eastAsia="Times New Roman" w:cs="Arial"/>
          <w:color w:val="3B3B3B"/>
          <w:kern w:val="36"/>
          <w:sz w:val="18"/>
          <w:lang w:eastAsia="fr-BE"/>
        </w:rPr>
        <w:t>Dec</w:t>
      </w:r>
      <w:proofErr w:type="spellEnd"/>
      <w:r w:rsidRPr="003307A2">
        <w:rPr>
          <w:rFonts w:eastAsia="Times New Roman" w:cs="Arial"/>
          <w:color w:val="3B3B3B"/>
          <w:kern w:val="36"/>
          <w:sz w:val="18"/>
          <w:lang w:eastAsia="fr-BE"/>
        </w:rPr>
        <w:t xml:space="preserve"> 2013). </w:t>
      </w:r>
      <w:r w:rsidRPr="003307A2">
        <w:rPr>
          <w:rFonts w:eastAsia="Times New Roman" w:cs="Arial"/>
          <w:color w:val="3B3B3B"/>
          <w:kern w:val="36"/>
          <w:sz w:val="18"/>
          <w:lang w:val="en-GB" w:eastAsia="fr-BE"/>
        </w:rPr>
        <w:t>"The role of Haptoglobin and its related protein, Zonulin, in inflammatory bowel disease". </w:t>
      </w:r>
      <w:r w:rsidRPr="003307A2">
        <w:rPr>
          <w:rFonts w:eastAsia="Times New Roman" w:cs="Arial"/>
          <w:color w:val="3B3B3B"/>
          <w:kern w:val="36"/>
          <w:sz w:val="18"/>
          <w:lang w:eastAsia="fr-BE"/>
        </w:rPr>
        <w:t xml:space="preserve">Tissue </w:t>
      </w:r>
      <w:proofErr w:type="spellStart"/>
      <w:r w:rsidRPr="003307A2">
        <w:rPr>
          <w:rFonts w:eastAsia="Times New Roman" w:cs="Arial"/>
          <w:color w:val="3B3B3B"/>
          <w:kern w:val="36"/>
          <w:sz w:val="18"/>
          <w:lang w:eastAsia="fr-BE"/>
        </w:rPr>
        <w:t>Barriers</w:t>
      </w:r>
      <w:proofErr w:type="spellEnd"/>
      <w:r w:rsidRPr="003307A2">
        <w:rPr>
          <w:rFonts w:eastAsia="Times New Roman" w:cs="Arial"/>
          <w:color w:val="3B3B3B"/>
          <w:kern w:val="36"/>
          <w:sz w:val="18"/>
          <w:lang w:eastAsia="fr-BE"/>
        </w:rPr>
        <w:t>. 1 (5): 27321. </w:t>
      </w:r>
      <w:hyperlink r:id="rId12" w:tooltip="Digital object identifier" w:history="1">
        <w:proofErr w:type="spellStart"/>
        <w:r w:rsidRPr="003307A2">
          <w:rPr>
            <w:rFonts w:eastAsia="Times New Roman" w:cs="Arial"/>
            <w:color w:val="3B3B3B"/>
            <w:kern w:val="36"/>
            <w:sz w:val="18"/>
            <w:lang w:eastAsia="fr-BE"/>
          </w:rPr>
          <w:t>doi</w:t>
        </w:r>
      </w:hyperlink>
      <w:r w:rsidRPr="003307A2">
        <w:rPr>
          <w:rFonts w:eastAsia="Times New Roman" w:cs="Arial"/>
          <w:color w:val="3B3B3B"/>
          <w:kern w:val="36"/>
          <w:sz w:val="18"/>
          <w:lang w:eastAsia="fr-BE"/>
        </w:rPr>
        <w:t>:</w:t>
      </w:r>
      <w:hyperlink r:id="rId13" w:history="1">
        <w:r w:rsidRPr="003307A2">
          <w:rPr>
            <w:rFonts w:eastAsia="Times New Roman" w:cs="Arial"/>
            <w:color w:val="3B3B3B"/>
            <w:kern w:val="36"/>
            <w:sz w:val="18"/>
            <w:lang w:eastAsia="fr-BE"/>
          </w:rPr>
          <w:t>10.4161/tisb.27321</w:t>
        </w:r>
        <w:proofErr w:type="spellEnd"/>
      </w:hyperlink>
      <w:r w:rsidRPr="003307A2">
        <w:rPr>
          <w:rFonts w:eastAsia="Times New Roman" w:cs="Arial"/>
          <w:color w:val="3B3B3B"/>
          <w:kern w:val="36"/>
          <w:sz w:val="18"/>
          <w:lang w:eastAsia="fr-BE"/>
        </w:rPr>
        <w:t>. </w:t>
      </w:r>
      <w:hyperlink r:id="rId14" w:tooltip="PubMed Identifier" w:history="1">
        <w:proofErr w:type="spellStart"/>
        <w:r w:rsidRPr="003307A2">
          <w:rPr>
            <w:rFonts w:eastAsia="Times New Roman" w:cs="Arial"/>
            <w:color w:val="3B3B3B"/>
            <w:kern w:val="36"/>
            <w:sz w:val="18"/>
            <w:lang w:eastAsia="fr-BE"/>
          </w:rPr>
          <w:t>PMID</w:t>
        </w:r>
        <w:proofErr w:type="spellEnd"/>
      </w:hyperlink>
      <w:r w:rsidRPr="003307A2">
        <w:rPr>
          <w:rFonts w:eastAsia="Times New Roman" w:cs="Arial"/>
          <w:color w:val="3B3B3B"/>
          <w:kern w:val="36"/>
          <w:sz w:val="18"/>
          <w:lang w:eastAsia="fr-BE"/>
        </w:rPr>
        <w:t> </w:t>
      </w:r>
      <w:hyperlink r:id="rId15" w:history="1">
        <w:r w:rsidRPr="003307A2">
          <w:rPr>
            <w:rFonts w:eastAsia="Times New Roman" w:cs="Arial"/>
            <w:color w:val="3B3B3B"/>
            <w:kern w:val="36"/>
            <w:sz w:val="18"/>
            <w:lang w:eastAsia="fr-BE"/>
          </w:rPr>
          <w:t>24868498</w:t>
        </w:r>
      </w:hyperlink>
      <w:r w:rsidRPr="003307A2">
        <w:rPr>
          <w:rFonts w:eastAsia="Times New Roman" w:cs="Arial"/>
          <w:color w:val="3B3B3B"/>
          <w:kern w:val="36"/>
          <w:sz w:val="18"/>
          <w:lang w:eastAsia="fr-BE"/>
        </w:rPr>
        <w:t>.</w:t>
      </w:r>
    </w:p>
    <w:p w:rsidR="00B0699B" w:rsidRPr="003307A2" w:rsidRDefault="00B0699B" w:rsidP="008D6017">
      <w:pPr>
        <w:pStyle w:val="Paragraphedeliste"/>
        <w:numPr>
          <w:ilvl w:val="0"/>
          <w:numId w:val="4"/>
        </w:numPr>
        <w:spacing w:before="100" w:beforeAutospacing="1" w:after="120"/>
        <w:ind w:left="714" w:hanging="357"/>
        <w:contextualSpacing w:val="0"/>
        <w:jc w:val="both"/>
        <w:outlineLvl w:val="0"/>
        <w:rPr>
          <w:rFonts w:eastAsia="Times New Roman" w:cs="Arial"/>
          <w:color w:val="3B3B3B"/>
          <w:kern w:val="36"/>
          <w:sz w:val="18"/>
          <w:lang w:eastAsia="fr-BE"/>
        </w:rPr>
      </w:pPr>
      <w:r w:rsidRPr="003307A2">
        <w:rPr>
          <w:rFonts w:eastAsia="Times New Roman" w:cs="Arial"/>
          <w:color w:val="3B3B3B"/>
          <w:kern w:val="36"/>
          <w:sz w:val="18"/>
          <w:lang w:val="en-GB" w:eastAsia="fr-BE"/>
        </w:rPr>
        <w:t>Fasano, A (Jan 2011). "Zonulin and its regulation of intestinal barrier function: the biological door to inflammation, autoimmunity, and cancer". </w:t>
      </w:r>
      <w:proofErr w:type="spellStart"/>
      <w:r w:rsidRPr="003307A2">
        <w:rPr>
          <w:rFonts w:eastAsia="Times New Roman" w:cs="Arial"/>
          <w:color w:val="3B3B3B"/>
          <w:kern w:val="36"/>
          <w:sz w:val="18"/>
          <w:lang w:eastAsia="fr-BE"/>
        </w:rPr>
        <w:t>Physiol</w:t>
      </w:r>
      <w:proofErr w:type="spellEnd"/>
      <w:r w:rsidRPr="003307A2">
        <w:rPr>
          <w:rFonts w:eastAsia="Times New Roman" w:cs="Arial"/>
          <w:color w:val="3B3B3B"/>
          <w:kern w:val="36"/>
          <w:sz w:val="18"/>
          <w:lang w:eastAsia="fr-BE"/>
        </w:rPr>
        <w:t xml:space="preserve"> </w:t>
      </w:r>
      <w:proofErr w:type="spellStart"/>
      <w:r w:rsidRPr="003307A2">
        <w:rPr>
          <w:rFonts w:eastAsia="Times New Roman" w:cs="Arial"/>
          <w:color w:val="3B3B3B"/>
          <w:kern w:val="36"/>
          <w:sz w:val="18"/>
          <w:lang w:eastAsia="fr-BE"/>
        </w:rPr>
        <w:t>Rev</w:t>
      </w:r>
      <w:proofErr w:type="spellEnd"/>
      <w:r w:rsidRPr="003307A2">
        <w:rPr>
          <w:rFonts w:eastAsia="Times New Roman" w:cs="Arial"/>
          <w:color w:val="3B3B3B"/>
          <w:kern w:val="36"/>
          <w:sz w:val="18"/>
          <w:lang w:eastAsia="fr-BE"/>
        </w:rPr>
        <w:t>. 91 (1): 151–75. </w:t>
      </w:r>
      <w:hyperlink r:id="rId16" w:tooltip="Digital object identifier" w:history="1">
        <w:proofErr w:type="spellStart"/>
        <w:r w:rsidRPr="003307A2">
          <w:rPr>
            <w:rFonts w:eastAsia="Times New Roman" w:cs="Arial"/>
            <w:color w:val="3B3B3B"/>
            <w:kern w:val="36"/>
            <w:sz w:val="18"/>
            <w:lang w:eastAsia="fr-BE"/>
          </w:rPr>
          <w:t>doi</w:t>
        </w:r>
      </w:hyperlink>
      <w:r w:rsidRPr="003307A2">
        <w:rPr>
          <w:rFonts w:eastAsia="Times New Roman" w:cs="Arial"/>
          <w:color w:val="3B3B3B"/>
          <w:kern w:val="36"/>
          <w:sz w:val="18"/>
          <w:lang w:eastAsia="fr-BE"/>
        </w:rPr>
        <w:t>:</w:t>
      </w:r>
      <w:hyperlink r:id="rId17" w:history="1">
        <w:r w:rsidRPr="003307A2">
          <w:rPr>
            <w:rFonts w:eastAsia="Times New Roman" w:cs="Arial"/>
            <w:color w:val="3B3B3B"/>
            <w:kern w:val="36"/>
            <w:sz w:val="18"/>
            <w:lang w:eastAsia="fr-BE"/>
          </w:rPr>
          <w:t>10.1152/physrev.00003.2008</w:t>
        </w:r>
        <w:proofErr w:type="spellEnd"/>
      </w:hyperlink>
      <w:r w:rsidRPr="003307A2">
        <w:rPr>
          <w:rFonts w:eastAsia="Times New Roman" w:cs="Arial"/>
          <w:color w:val="3B3B3B"/>
          <w:kern w:val="36"/>
          <w:sz w:val="18"/>
          <w:lang w:eastAsia="fr-BE"/>
        </w:rPr>
        <w:t>. </w:t>
      </w:r>
      <w:hyperlink r:id="rId18" w:tooltip="PubMed Identifier" w:history="1">
        <w:proofErr w:type="spellStart"/>
        <w:r w:rsidRPr="003307A2">
          <w:rPr>
            <w:rFonts w:eastAsia="Times New Roman" w:cs="Arial"/>
            <w:color w:val="3B3B3B"/>
            <w:kern w:val="36"/>
            <w:sz w:val="18"/>
            <w:lang w:eastAsia="fr-BE"/>
          </w:rPr>
          <w:t>PMID</w:t>
        </w:r>
        <w:proofErr w:type="spellEnd"/>
      </w:hyperlink>
      <w:r w:rsidRPr="003307A2">
        <w:rPr>
          <w:rFonts w:eastAsia="Times New Roman" w:cs="Arial"/>
          <w:color w:val="3B3B3B"/>
          <w:kern w:val="36"/>
          <w:sz w:val="18"/>
          <w:lang w:eastAsia="fr-BE"/>
        </w:rPr>
        <w:t> </w:t>
      </w:r>
      <w:hyperlink r:id="rId19" w:history="1">
        <w:r w:rsidRPr="003307A2">
          <w:rPr>
            <w:rFonts w:eastAsia="Times New Roman" w:cs="Arial"/>
            <w:color w:val="3B3B3B"/>
            <w:kern w:val="36"/>
            <w:sz w:val="18"/>
            <w:lang w:eastAsia="fr-BE"/>
          </w:rPr>
          <w:t>21248165</w:t>
        </w:r>
      </w:hyperlink>
      <w:r w:rsidRPr="003307A2">
        <w:rPr>
          <w:rFonts w:eastAsia="Times New Roman" w:cs="Arial"/>
          <w:color w:val="3B3B3B"/>
          <w:kern w:val="36"/>
          <w:sz w:val="18"/>
          <w:lang w:eastAsia="fr-BE"/>
        </w:rPr>
        <w:t>.</w:t>
      </w:r>
    </w:p>
    <w:p w:rsidR="00B0699B" w:rsidRPr="003307A2" w:rsidRDefault="00B0699B" w:rsidP="008D6017">
      <w:pPr>
        <w:pStyle w:val="Paragraphedeliste"/>
        <w:numPr>
          <w:ilvl w:val="0"/>
          <w:numId w:val="4"/>
        </w:numPr>
        <w:spacing w:before="100" w:beforeAutospacing="1" w:after="120"/>
        <w:ind w:left="714" w:hanging="357"/>
        <w:contextualSpacing w:val="0"/>
        <w:jc w:val="both"/>
        <w:outlineLvl w:val="0"/>
        <w:rPr>
          <w:rFonts w:eastAsia="Times New Roman" w:cs="Arial"/>
          <w:color w:val="3B3B3B"/>
          <w:kern w:val="36"/>
          <w:sz w:val="18"/>
          <w:lang w:eastAsia="fr-BE"/>
        </w:rPr>
      </w:pPr>
      <w:r w:rsidRPr="003307A2">
        <w:rPr>
          <w:rFonts w:eastAsia="Times New Roman" w:cs="Arial"/>
          <w:color w:val="3B3B3B"/>
          <w:kern w:val="36"/>
          <w:sz w:val="18"/>
          <w:lang w:val="en-GB" w:eastAsia="fr-BE"/>
        </w:rPr>
        <w:t>Lammers, Karen M.; Lu, Ruliang; Brownley, Julie; Lu, Bao; Gerard, Craig; Thomas, Karen; Rallabhandi, Prasad; Shea-Donohue, Terez; Tamiz, Amir (</w:t>
      </w:r>
      <w:r w:rsidR="009B24CF" w:rsidRPr="003307A2">
        <w:rPr>
          <w:rFonts w:eastAsia="Times New Roman" w:cs="Arial"/>
          <w:color w:val="3B3B3B"/>
          <w:kern w:val="36"/>
          <w:sz w:val="18"/>
          <w:lang w:val="en-GB" w:eastAsia="fr-BE"/>
        </w:rPr>
        <w:t>Jul 2008</w:t>
      </w:r>
      <w:r w:rsidRPr="003307A2">
        <w:rPr>
          <w:rFonts w:eastAsia="Times New Roman" w:cs="Arial"/>
          <w:color w:val="3B3B3B"/>
          <w:kern w:val="36"/>
          <w:sz w:val="18"/>
          <w:lang w:val="en-GB" w:eastAsia="fr-BE"/>
        </w:rPr>
        <w:t>). </w:t>
      </w:r>
      <w:hyperlink r:id="rId20" w:history="1">
        <w:r w:rsidRPr="003307A2">
          <w:rPr>
            <w:rFonts w:eastAsia="Times New Roman" w:cs="Arial"/>
            <w:color w:val="3B3B3B"/>
            <w:kern w:val="36"/>
            <w:sz w:val="18"/>
            <w:lang w:val="en-GB" w:eastAsia="fr-BE"/>
          </w:rPr>
          <w:t>"Gliadin induces an increase in intestinal permeability and zonulin release by binding to the chemokine receptor CXCR3"</w:t>
        </w:r>
      </w:hyperlink>
      <w:r w:rsidRPr="003307A2">
        <w:rPr>
          <w:rFonts w:eastAsia="Times New Roman" w:cs="Arial"/>
          <w:color w:val="3B3B3B"/>
          <w:kern w:val="36"/>
          <w:sz w:val="18"/>
          <w:lang w:val="en-GB" w:eastAsia="fr-BE"/>
        </w:rPr>
        <w:t>. </w:t>
      </w:r>
      <w:proofErr w:type="spellStart"/>
      <w:r w:rsidRPr="003307A2">
        <w:rPr>
          <w:rFonts w:eastAsia="Times New Roman" w:cs="Arial"/>
          <w:color w:val="3B3B3B"/>
          <w:kern w:val="36"/>
          <w:sz w:val="18"/>
          <w:lang w:eastAsia="fr-BE"/>
        </w:rPr>
        <w:t>Gastroenterology</w:t>
      </w:r>
      <w:proofErr w:type="spellEnd"/>
      <w:r w:rsidRPr="003307A2">
        <w:rPr>
          <w:rFonts w:eastAsia="Times New Roman" w:cs="Arial"/>
          <w:color w:val="3B3B3B"/>
          <w:kern w:val="36"/>
          <w:sz w:val="18"/>
          <w:lang w:eastAsia="fr-BE"/>
        </w:rPr>
        <w:t>. 135 (1): 194–204.e3. </w:t>
      </w:r>
      <w:hyperlink r:id="rId21" w:tooltip="Digital object identifier" w:history="1">
        <w:proofErr w:type="spellStart"/>
        <w:r w:rsidRPr="003307A2">
          <w:rPr>
            <w:rFonts w:eastAsia="Times New Roman" w:cs="Arial"/>
            <w:color w:val="3B3B3B"/>
            <w:kern w:val="36"/>
            <w:sz w:val="18"/>
            <w:lang w:eastAsia="fr-BE"/>
          </w:rPr>
          <w:t>doi</w:t>
        </w:r>
      </w:hyperlink>
      <w:r w:rsidRPr="003307A2">
        <w:rPr>
          <w:rFonts w:eastAsia="Times New Roman" w:cs="Arial"/>
          <w:color w:val="3B3B3B"/>
          <w:kern w:val="36"/>
          <w:sz w:val="18"/>
          <w:lang w:eastAsia="fr-BE"/>
        </w:rPr>
        <w:t>:</w:t>
      </w:r>
      <w:hyperlink r:id="rId22" w:history="1">
        <w:r w:rsidRPr="003307A2">
          <w:rPr>
            <w:rFonts w:eastAsia="Times New Roman" w:cs="Arial"/>
            <w:color w:val="3B3B3B"/>
            <w:kern w:val="36"/>
            <w:sz w:val="18"/>
            <w:lang w:eastAsia="fr-BE"/>
          </w:rPr>
          <w:t>10.1053/j.gastro.2008.03.023</w:t>
        </w:r>
        <w:proofErr w:type="spellEnd"/>
      </w:hyperlink>
      <w:r w:rsidRPr="003307A2">
        <w:rPr>
          <w:rFonts w:eastAsia="Times New Roman" w:cs="Arial"/>
          <w:color w:val="3B3B3B"/>
          <w:kern w:val="36"/>
          <w:sz w:val="18"/>
          <w:lang w:eastAsia="fr-BE"/>
        </w:rPr>
        <w:t>. </w:t>
      </w:r>
      <w:hyperlink r:id="rId23" w:tooltip="International Standard Serial Number" w:history="1">
        <w:r w:rsidRPr="003307A2">
          <w:rPr>
            <w:rFonts w:eastAsia="Times New Roman" w:cs="Arial"/>
            <w:color w:val="3B3B3B"/>
            <w:kern w:val="36"/>
            <w:sz w:val="18"/>
            <w:lang w:eastAsia="fr-BE"/>
          </w:rPr>
          <w:t>ISSN</w:t>
        </w:r>
      </w:hyperlink>
      <w:r w:rsidRPr="003307A2">
        <w:rPr>
          <w:rFonts w:eastAsia="Times New Roman" w:cs="Arial"/>
          <w:color w:val="3B3B3B"/>
          <w:kern w:val="36"/>
          <w:sz w:val="18"/>
          <w:lang w:eastAsia="fr-BE"/>
        </w:rPr>
        <w:t> </w:t>
      </w:r>
      <w:hyperlink r:id="rId24" w:history="1">
        <w:r w:rsidRPr="003307A2">
          <w:rPr>
            <w:rFonts w:eastAsia="Times New Roman" w:cs="Arial"/>
            <w:color w:val="3B3B3B"/>
            <w:kern w:val="36"/>
            <w:sz w:val="18"/>
            <w:lang w:eastAsia="fr-BE"/>
          </w:rPr>
          <w:t>1528-0012</w:t>
        </w:r>
      </w:hyperlink>
      <w:r w:rsidRPr="003307A2">
        <w:rPr>
          <w:rFonts w:eastAsia="Times New Roman" w:cs="Arial"/>
          <w:color w:val="3B3B3B"/>
          <w:kern w:val="36"/>
          <w:sz w:val="18"/>
          <w:lang w:eastAsia="fr-BE"/>
        </w:rPr>
        <w:t>. </w:t>
      </w:r>
      <w:hyperlink r:id="rId25" w:tooltip="PubMed Central" w:history="1">
        <w:proofErr w:type="spellStart"/>
        <w:r w:rsidRPr="003307A2">
          <w:rPr>
            <w:rFonts w:eastAsia="Times New Roman" w:cs="Arial"/>
            <w:color w:val="3B3B3B"/>
            <w:kern w:val="36"/>
            <w:sz w:val="18"/>
            <w:lang w:eastAsia="fr-BE"/>
          </w:rPr>
          <w:t>PMC</w:t>
        </w:r>
        <w:proofErr w:type="spellEnd"/>
      </w:hyperlink>
      <w:r w:rsidRPr="003307A2">
        <w:rPr>
          <w:rFonts w:eastAsia="Times New Roman" w:cs="Arial"/>
          <w:color w:val="3B3B3B"/>
          <w:kern w:val="36"/>
          <w:sz w:val="18"/>
          <w:lang w:eastAsia="fr-BE"/>
        </w:rPr>
        <w:t> </w:t>
      </w:r>
      <w:hyperlink r:id="rId26" w:history="1">
        <w:r w:rsidRPr="003307A2">
          <w:rPr>
            <w:rFonts w:eastAsia="Times New Roman" w:cs="Arial"/>
            <w:color w:val="3B3B3B"/>
            <w:kern w:val="36"/>
            <w:sz w:val="18"/>
            <w:lang w:eastAsia="fr-BE"/>
          </w:rPr>
          <w:t>2653457</w:t>
        </w:r>
      </w:hyperlink>
      <w:r w:rsidRPr="003307A2">
        <w:rPr>
          <w:rFonts w:eastAsia="Times New Roman" w:cs="Arial"/>
          <w:color w:val="3B3B3B"/>
          <w:kern w:val="36"/>
          <w:sz w:val="18"/>
          <w:lang w:eastAsia="fr-BE"/>
        </w:rPr>
        <w:t>. </w:t>
      </w:r>
      <w:hyperlink r:id="rId27" w:tooltip="PubMed Identifier" w:history="1">
        <w:proofErr w:type="spellStart"/>
        <w:r w:rsidRPr="003307A2">
          <w:rPr>
            <w:rFonts w:eastAsia="Times New Roman" w:cs="Arial"/>
            <w:color w:val="3B3B3B"/>
            <w:kern w:val="36"/>
            <w:sz w:val="18"/>
            <w:lang w:eastAsia="fr-BE"/>
          </w:rPr>
          <w:t>PMID</w:t>
        </w:r>
        <w:proofErr w:type="spellEnd"/>
      </w:hyperlink>
      <w:r w:rsidRPr="003307A2">
        <w:rPr>
          <w:rFonts w:eastAsia="Times New Roman" w:cs="Arial"/>
          <w:color w:val="3B3B3B"/>
          <w:kern w:val="36"/>
          <w:sz w:val="18"/>
          <w:lang w:eastAsia="fr-BE"/>
        </w:rPr>
        <w:t> </w:t>
      </w:r>
      <w:hyperlink r:id="rId28" w:history="1">
        <w:r w:rsidRPr="003307A2">
          <w:rPr>
            <w:rFonts w:eastAsia="Times New Roman" w:cs="Arial"/>
            <w:color w:val="3B3B3B"/>
            <w:kern w:val="36"/>
            <w:sz w:val="18"/>
            <w:lang w:eastAsia="fr-BE"/>
          </w:rPr>
          <w:t>18485912</w:t>
        </w:r>
      </w:hyperlink>
      <w:r w:rsidRPr="003307A2">
        <w:rPr>
          <w:rFonts w:eastAsia="Times New Roman" w:cs="Arial"/>
          <w:color w:val="3B3B3B"/>
          <w:kern w:val="36"/>
          <w:sz w:val="18"/>
          <w:lang w:eastAsia="fr-BE"/>
        </w:rPr>
        <w:t>.</w:t>
      </w:r>
    </w:p>
    <w:p w:rsidR="00B0699B" w:rsidRPr="003307A2" w:rsidRDefault="00B0699B" w:rsidP="008D6017">
      <w:pPr>
        <w:pStyle w:val="Paragraphedeliste"/>
        <w:numPr>
          <w:ilvl w:val="0"/>
          <w:numId w:val="4"/>
        </w:numPr>
        <w:spacing w:before="100" w:beforeAutospacing="1" w:after="120"/>
        <w:ind w:left="714" w:hanging="357"/>
        <w:contextualSpacing w:val="0"/>
        <w:jc w:val="both"/>
        <w:outlineLvl w:val="0"/>
        <w:rPr>
          <w:rFonts w:eastAsia="Times New Roman" w:cs="Arial"/>
          <w:color w:val="3B3B3B"/>
          <w:kern w:val="36"/>
          <w:sz w:val="18"/>
          <w:lang w:eastAsia="fr-BE"/>
        </w:rPr>
      </w:pPr>
      <w:r w:rsidRPr="003307A2">
        <w:rPr>
          <w:rFonts w:eastAsia="Times New Roman" w:cs="Arial"/>
          <w:color w:val="3B3B3B"/>
          <w:kern w:val="36"/>
          <w:sz w:val="18"/>
          <w:lang w:val="en-GB" w:eastAsia="fr-BE"/>
        </w:rPr>
        <w:t>Visser, Jeroen; Rozing, Jan; Sapone, Anna; Lammers, Karen; Fasano, Alessio (</w:t>
      </w:r>
      <w:r w:rsidR="009B24CF" w:rsidRPr="003307A2">
        <w:rPr>
          <w:rFonts w:eastAsia="Times New Roman" w:cs="Arial"/>
          <w:color w:val="3B3B3B"/>
          <w:kern w:val="36"/>
          <w:sz w:val="18"/>
          <w:lang w:val="en-GB" w:eastAsia="fr-BE"/>
        </w:rPr>
        <w:t>May 2009</w:t>
      </w:r>
      <w:r w:rsidRPr="003307A2">
        <w:rPr>
          <w:rFonts w:eastAsia="Times New Roman" w:cs="Arial"/>
          <w:color w:val="3B3B3B"/>
          <w:kern w:val="36"/>
          <w:sz w:val="18"/>
          <w:lang w:val="en-GB" w:eastAsia="fr-BE"/>
        </w:rPr>
        <w:t>). </w:t>
      </w:r>
      <w:hyperlink r:id="rId29" w:history="1">
        <w:r w:rsidRPr="003307A2">
          <w:rPr>
            <w:rFonts w:eastAsia="Times New Roman" w:cs="Arial"/>
            <w:color w:val="3B3B3B"/>
            <w:kern w:val="36"/>
            <w:sz w:val="18"/>
            <w:lang w:val="en-GB" w:eastAsia="fr-BE"/>
          </w:rPr>
          <w:t>"Tight Junctions, Intestinal Permeability, and Autoimmunity Celiac Disease and Type 1 Diabetes Paradigms"</w:t>
        </w:r>
      </w:hyperlink>
      <w:r w:rsidRPr="003307A2">
        <w:rPr>
          <w:rFonts w:eastAsia="Times New Roman" w:cs="Arial"/>
          <w:color w:val="3B3B3B"/>
          <w:kern w:val="36"/>
          <w:sz w:val="18"/>
          <w:lang w:val="en-GB" w:eastAsia="fr-BE"/>
        </w:rPr>
        <w:t>. Annals of the New York Academy of Sciences. 1165: 195–205. </w:t>
      </w:r>
      <w:r w:rsidR="00E9033F">
        <w:fldChar w:fldCharType="begin"/>
      </w:r>
      <w:r w:rsidR="00E9033F">
        <w:instrText>HYPERLINK "https://en.wikipedia.org/wiki/Digital_object_identifier" \o "Digital object identifier"</w:instrText>
      </w:r>
      <w:r w:rsidR="00E9033F">
        <w:fldChar w:fldCharType="separate"/>
      </w:r>
      <w:r w:rsidRPr="003307A2">
        <w:rPr>
          <w:rFonts w:eastAsia="Times New Roman" w:cs="Arial"/>
          <w:color w:val="3B3B3B"/>
          <w:kern w:val="36"/>
          <w:sz w:val="18"/>
          <w:lang w:val="en-GB" w:eastAsia="fr-BE"/>
        </w:rPr>
        <w:t>doi</w:t>
      </w:r>
      <w:r w:rsidR="00E9033F">
        <w:fldChar w:fldCharType="end"/>
      </w:r>
      <w:r w:rsidRPr="003307A2">
        <w:rPr>
          <w:rFonts w:eastAsia="Times New Roman" w:cs="Arial"/>
          <w:color w:val="3B3B3B"/>
          <w:kern w:val="36"/>
          <w:sz w:val="18"/>
          <w:lang w:val="en-GB" w:eastAsia="fr-BE"/>
        </w:rPr>
        <w:t>:</w:t>
      </w:r>
      <w:hyperlink r:id="rId30" w:history="1">
        <w:r w:rsidRPr="003307A2">
          <w:rPr>
            <w:rFonts w:eastAsia="Times New Roman" w:cs="Arial"/>
            <w:color w:val="3B3B3B"/>
            <w:kern w:val="36"/>
            <w:sz w:val="18"/>
            <w:lang w:val="en-GB" w:eastAsia="fr-BE"/>
          </w:rPr>
          <w:t>10.1111/j.1749-6632.2009.04037.x</w:t>
        </w:r>
      </w:hyperlink>
      <w:r w:rsidRPr="003307A2">
        <w:rPr>
          <w:rFonts w:eastAsia="Times New Roman" w:cs="Arial"/>
          <w:color w:val="3B3B3B"/>
          <w:kern w:val="36"/>
          <w:sz w:val="18"/>
          <w:lang w:val="en-GB" w:eastAsia="fr-BE"/>
        </w:rPr>
        <w:t>. </w:t>
      </w:r>
      <w:hyperlink r:id="rId31" w:tooltip="International Standard Serial Number" w:history="1">
        <w:r w:rsidRPr="003307A2">
          <w:rPr>
            <w:rFonts w:eastAsia="Times New Roman" w:cs="Arial"/>
            <w:color w:val="3B3B3B"/>
            <w:kern w:val="36"/>
            <w:sz w:val="18"/>
            <w:lang w:eastAsia="fr-BE"/>
          </w:rPr>
          <w:t>ISSN</w:t>
        </w:r>
      </w:hyperlink>
      <w:r w:rsidRPr="003307A2">
        <w:rPr>
          <w:rFonts w:eastAsia="Times New Roman" w:cs="Arial"/>
          <w:color w:val="3B3B3B"/>
          <w:kern w:val="36"/>
          <w:sz w:val="18"/>
          <w:lang w:eastAsia="fr-BE"/>
        </w:rPr>
        <w:t> </w:t>
      </w:r>
      <w:hyperlink r:id="rId32" w:history="1">
        <w:r w:rsidRPr="003307A2">
          <w:rPr>
            <w:rFonts w:eastAsia="Times New Roman" w:cs="Arial"/>
            <w:color w:val="3B3B3B"/>
            <w:kern w:val="36"/>
            <w:sz w:val="18"/>
            <w:lang w:eastAsia="fr-BE"/>
          </w:rPr>
          <w:t>0077-8923</w:t>
        </w:r>
      </w:hyperlink>
      <w:r w:rsidRPr="003307A2">
        <w:rPr>
          <w:rFonts w:eastAsia="Times New Roman" w:cs="Arial"/>
          <w:color w:val="3B3B3B"/>
          <w:kern w:val="36"/>
          <w:sz w:val="18"/>
          <w:lang w:eastAsia="fr-BE"/>
        </w:rPr>
        <w:t>. </w:t>
      </w:r>
      <w:hyperlink r:id="rId33" w:tooltip="PubMed Central" w:history="1">
        <w:proofErr w:type="spellStart"/>
        <w:r w:rsidRPr="003307A2">
          <w:rPr>
            <w:rFonts w:eastAsia="Times New Roman" w:cs="Arial"/>
            <w:color w:val="3B3B3B"/>
            <w:kern w:val="36"/>
            <w:sz w:val="18"/>
            <w:lang w:eastAsia="fr-BE"/>
          </w:rPr>
          <w:t>PMC</w:t>
        </w:r>
        <w:proofErr w:type="spellEnd"/>
      </w:hyperlink>
      <w:r w:rsidRPr="003307A2">
        <w:rPr>
          <w:rFonts w:eastAsia="Times New Roman" w:cs="Arial"/>
          <w:color w:val="3B3B3B"/>
          <w:kern w:val="36"/>
          <w:sz w:val="18"/>
          <w:lang w:eastAsia="fr-BE"/>
        </w:rPr>
        <w:t> </w:t>
      </w:r>
      <w:hyperlink r:id="rId34" w:history="1">
        <w:r w:rsidRPr="003307A2">
          <w:rPr>
            <w:rFonts w:eastAsia="Times New Roman" w:cs="Arial"/>
            <w:color w:val="3B3B3B"/>
            <w:kern w:val="36"/>
            <w:sz w:val="18"/>
            <w:lang w:eastAsia="fr-BE"/>
          </w:rPr>
          <w:t>2886850</w:t>
        </w:r>
      </w:hyperlink>
      <w:r w:rsidRPr="003307A2">
        <w:rPr>
          <w:rFonts w:eastAsia="Times New Roman" w:cs="Arial"/>
          <w:color w:val="3B3B3B"/>
          <w:kern w:val="36"/>
          <w:sz w:val="18"/>
          <w:lang w:eastAsia="fr-BE"/>
        </w:rPr>
        <w:t>. </w:t>
      </w:r>
      <w:hyperlink r:id="rId35" w:tooltip="PubMed Identifier" w:history="1">
        <w:proofErr w:type="spellStart"/>
        <w:r w:rsidRPr="003307A2">
          <w:rPr>
            <w:rFonts w:eastAsia="Times New Roman" w:cs="Arial"/>
            <w:color w:val="3B3B3B"/>
            <w:kern w:val="36"/>
            <w:sz w:val="18"/>
            <w:lang w:eastAsia="fr-BE"/>
          </w:rPr>
          <w:t>PMID</w:t>
        </w:r>
        <w:proofErr w:type="spellEnd"/>
      </w:hyperlink>
      <w:r w:rsidRPr="003307A2">
        <w:rPr>
          <w:rFonts w:eastAsia="Times New Roman" w:cs="Arial"/>
          <w:color w:val="3B3B3B"/>
          <w:kern w:val="36"/>
          <w:sz w:val="18"/>
          <w:lang w:eastAsia="fr-BE"/>
        </w:rPr>
        <w:t> </w:t>
      </w:r>
      <w:hyperlink r:id="rId36" w:history="1">
        <w:r w:rsidRPr="003307A2">
          <w:rPr>
            <w:rFonts w:eastAsia="Times New Roman" w:cs="Arial"/>
            <w:color w:val="3B3B3B"/>
            <w:kern w:val="36"/>
            <w:sz w:val="18"/>
            <w:lang w:eastAsia="fr-BE"/>
          </w:rPr>
          <w:t>19538307</w:t>
        </w:r>
      </w:hyperlink>
      <w:r w:rsidRPr="003307A2">
        <w:rPr>
          <w:rFonts w:eastAsia="Times New Roman" w:cs="Arial"/>
          <w:color w:val="3B3B3B"/>
          <w:kern w:val="36"/>
          <w:sz w:val="18"/>
          <w:lang w:eastAsia="fr-BE"/>
        </w:rPr>
        <w:t>.</w:t>
      </w:r>
    </w:p>
    <w:p w:rsidR="00B0699B" w:rsidRPr="003307A2" w:rsidRDefault="00B0699B" w:rsidP="008D6017">
      <w:pPr>
        <w:pStyle w:val="Paragraphedeliste"/>
        <w:numPr>
          <w:ilvl w:val="0"/>
          <w:numId w:val="4"/>
        </w:numPr>
        <w:spacing w:before="100" w:beforeAutospacing="1" w:after="120"/>
        <w:ind w:left="714" w:hanging="357"/>
        <w:contextualSpacing w:val="0"/>
        <w:jc w:val="both"/>
        <w:outlineLvl w:val="0"/>
        <w:rPr>
          <w:rFonts w:eastAsia="Times New Roman" w:cs="Arial"/>
          <w:color w:val="3B3B3B"/>
          <w:kern w:val="36"/>
          <w:sz w:val="18"/>
          <w:lang w:eastAsia="fr-BE"/>
        </w:rPr>
      </w:pPr>
      <w:r w:rsidRPr="003307A2">
        <w:rPr>
          <w:rFonts w:eastAsia="Times New Roman" w:cs="Arial"/>
          <w:color w:val="3B3B3B"/>
          <w:kern w:val="36"/>
          <w:sz w:val="18"/>
          <w:lang w:val="en-GB" w:eastAsia="fr-BE"/>
        </w:rPr>
        <w:t>Fasano, Alessio (</w:t>
      </w:r>
      <w:r w:rsidR="009B24CF" w:rsidRPr="003307A2">
        <w:rPr>
          <w:rFonts w:eastAsia="Times New Roman" w:cs="Arial"/>
          <w:color w:val="3B3B3B"/>
          <w:kern w:val="36"/>
          <w:sz w:val="18"/>
          <w:lang w:val="en-GB" w:eastAsia="fr-BE"/>
        </w:rPr>
        <w:t>Jan 2011</w:t>
      </w:r>
      <w:r w:rsidRPr="003307A2">
        <w:rPr>
          <w:rFonts w:eastAsia="Times New Roman" w:cs="Arial"/>
          <w:color w:val="3B3B3B"/>
          <w:kern w:val="36"/>
          <w:sz w:val="18"/>
          <w:lang w:val="en-GB" w:eastAsia="fr-BE"/>
        </w:rPr>
        <w:t>). </w:t>
      </w:r>
      <w:hyperlink r:id="rId37" w:history="1">
        <w:r w:rsidRPr="003307A2">
          <w:rPr>
            <w:rFonts w:eastAsia="Times New Roman" w:cs="Arial"/>
            <w:color w:val="3B3B3B"/>
            <w:kern w:val="36"/>
            <w:sz w:val="18"/>
            <w:lang w:val="en-GB" w:eastAsia="fr-BE"/>
          </w:rPr>
          <w:t>"Zonulin and Its Regulation of Intestinal Barrier Function: The Biological Door to Inflammation, Autoimmunity, and Cancer"</w:t>
        </w:r>
      </w:hyperlink>
      <w:r w:rsidRPr="003307A2">
        <w:rPr>
          <w:rFonts w:eastAsia="Times New Roman" w:cs="Arial"/>
          <w:color w:val="3B3B3B"/>
          <w:kern w:val="36"/>
          <w:sz w:val="18"/>
          <w:lang w:val="en-GB" w:eastAsia="fr-BE"/>
        </w:rPr>
        <w:t>. </w:t>
      </w:r>
      <w:proofErr w:type="spellStart"/>
      <w:r w:rsidRPr="003307A2">
        <w:rPr>
          <w:rFonts w:eastAsia="Times New Roman" w:cs="Arial"/>
          <w:color w:val="3B3B3B"/>
          <w:kern w:val="36"/>
          <w:sz w:val="18"/>
          <w:lang w:eastAsia="fr-BE"/>
        </w:rPr>
        <w:t>Physiological</w:t>
      </w:r>
      <w:proofErr w:type="spellEnd"/>
      <w:r w:rsidRPr="003307A2">
        <w:rPr>
          <w:rFonts w:eastAsia="Times New Roman" w:cs="Arial"/>
          <w:color w:val="3B3B3B"/>
          <w:kern w:val="36"/>
          <w:sz w:val="18"/>
          <w:lang w:eastAsia="fr-BE"/>
        </w:rPr>
        <w:t xml:space="preserve"> </w:t>
      </w:r>
      <w:proofErr w:type="spellStart"/>
      <w:r w:rsidRPr="003307A2">
        <w:rPr>
          <w:rFonts w:eastAsia="Times New Roman" w:cs="Arial"/>
          <w:color w:val="3B3B3B"/>
          <w:kern w:val="36"/>
          <w:sz w:val="18"/>
          <w:lang w:eastAsia="fr-BE"/>
        </w:rPr>
        <w:t>Reviews</w:t>
      </w:r>
      <w:proofErr w:type="spellEnd"/>
      <w:r w:rsidRPr="003307A2">
        <w:rPr>
          <w:rFonts w:eastAsia="Times New Roman" w:cs="Arial"/>
          <w:color w:val="3B3B3B"/>
          <w:kern w:val="36"/>
          <w:sz w:val="18"/>
          <w:lang w:eastAsia="fr-BE"/>
        </w:rPr>
        <w:t>. 91 (1): 151–175. </w:t>
      </w:r>
      <w:hyperlink r:id="rId38" w:tooltip="Digital object identifier" w:history="1">
        <w:proofErr w:type="spellStart"/>
        <w:r w:rsidRPr="003307A2">
          <w:rPr>
            <w:rFonts w:eastAsia="Times New Roman" w:cs="Arial"/>
            <w:color w:val="3B3B3B"/>
            <w:kern w:val="36"/>
            <w:sz w:val="18"/>
            <w:lang w:eastAsia="fr-BE"/>
          </w:rPr>
          <w:t>doi</w:t>
        </w:r>
      </w:hyperlink>
      <w:r w:rsidRPr="003307A2">
        <w:rPr>
          <w:rFonts w:eastAsia="Times New Roman" w:cs="Arial"/>
          <w:color w:val="3B3B3B"/>
          <w:kern w:val="36"/>
          <w:sz w:val="18"/>
          <w:lang w:eastAsia="fr-BE"/>
        </w:rPr>
        <w:t>:</w:t>
      </w:r>
      <w:hyperlink r:id="rId39" w:history="1">
        <w:r w:rsidRPr="003307A2">
          <w:rPr>
            <w:rFonts w:eastAsia="Times New Roman" w:cs="Arial"/>
            <w:color w:val="3B3B3B"/>
            <w:kern w:val="36"/>
            <w:sz w:val="18"/>
            <w:lang w:eastAsia="fr-BE"/>
          </w:rPr>
          <w:t>10.1152/physrev.00003.2008</w:t>
        </w:r>
        <w:proofErr w:type="spellEnd"/>
      </w:hyperlink>
      <w:r w:rsidRPr="003307A2">
        <w:rPr>
          <w:rFonts w:eastAsia="Times New Roman" w:cs="Arial"/>
          <w:color w:val="3B3B3B"/>
          <w:kern w:val="36"/>
          <w:sz w:val="18"/>
          <w:lang w:eastAsia="fr-BE"/>
        </w:rPr>
        <w:t>. </w:t>
      </w:r>
      <w:hyperlink r:id="rId40" w:tooltip="International Standard Serial Number" w:history="1">
        <w:r w:rsidRPr="003307A2">
          <w:rPr>
            <w:rFonts w:eastAsia="Times New Roman" w:cs="Arial"/>
            <w:color w:val="3B3B3B"/>
            <w:kern w:val="36"/>
            <w:sz w:val="18"/>
            <w:lang w:eastAsia="fr-BE"/>
          </w:rPr>
          <w:t>ISSN</w:t>
        </w:r>
      </w:hyperlink>
      <w:r w:rsidRPr="003307A2">
        <w:rPr>
          <w:rFonts w:eastAsia="Times New Roman" w:cs="Arial"/>
          <w:color w:val="3B3B3B"/>
          <w:kern w:val="36"/>
          <w:sz w:val="18"/>
          <w:lang w:eastAsia="fr-BE"/>
        </w:rPr>
        <w:t> </w:t>
      </w:r>
      <w:hyperlink r:id="rId41" w:history="1">
        <w:r w:rsidRPr="003307A2">
          <w:rPr>
            <w:rFonts w:eastAsia="Times New Roman" w:cs="Arial"/>
            <w:color w:val="3B3B3B"/>
            <w:kern w:val="36"/>
            <w:sz w:val="18"/>
            <w:lang w:eastAsia="fr-BE"/>
          </w:rPr>
          <w:t>0031-9333</w:t>
        </w:r>
      </w:hyperlink>
      <w:r w:rsidRPr="003307A2">
        <w:rPr>
          <w:rFonts w:eastAsia="Times New Roman" w:cs="Arial"/>
          <w:color w:val="3B3B3B"/>
          <w:kern w:val="36"/>
          <w:sz w:val="18"/>
          <w:lang w:eastAsia="fr-BE"/>
        </w:rPr>
        <w:t>. </w:t>
      </w:r>
      <w:hyperlink r:id="rId42" w:tooltip="PubMed Identifier" w:history="1">
        <w:proofErr w:type="spellStart"/>
        <w:r w:rsidRPr="003307A2">
          <w:rPr>
            <w:rFonts w:eastAsia="Times New Roman" w:cs="Arial"/>
            <w:color w:val="3B3B3B"/>
            <w:kern w:val="36"/>
            <w:sz w:val="18"/>
            <w:lang w:eastAsia="fr-BE"/>
          </w:rPr>
          <w:t>PMID</w:t>
        </w:r>
        <w:proofErr w:type="spellEnd"/>
      </w:hyperlink>
      <w:r w:rsidRPr="003307A2">
        <w:rPr>
          <w:rFonts w:eastAsia="Times New Roman" w:cs="Arial"/>
          <w:color w:val="3B3B3B"/>
          <w:kern w:val="36"/>
          <w:sz w:val="18"/>
          <w:lang w:eastAsia="fr-BE"/>
        </w:rPr>
        <w:t> </w:t>
      </w:r>
      <w:hyperlink r:id="rId43" w:history="1">
        <w:r w:rsidRPr="003307A2">
          <w:rPr>
            <w:rFonts w:eastAsia="Times New Roman" w:cs="Arial"/>
            <w:color w:val="3B3B3B"/>
            <w:kern w:val="36"/>
            <w:sz w:val="18"/>
            <w:lang w:eastAsia="fr-BE"/>
          </w:rPr>
          <w:t>21248165</w:t>
        </w:r>
      </w:hyperlink>
      <w:r w:rsidRPr="003307A2">
        <w:rPr>
          <w:rFonts w:eastAsia="Times New Roman" w:cs="Arial"/>
          <w:color w:val="3B3B3B"/>
          <w:kern w:val="36"/>
          <w:sz w:val="18"/>
          <w:lang w:eastAsia="fr-BE"/>
        </w:rPr>
        <w:t>.</w:t>
      </w:r>
    </w:p>
    <w:p w:rsidR="00B0699B" w:rsidRPr="003307A2" w:rsidRDefault="00B0699B" w:rsidP="008D6017">
      <w:pPr>
        <w:pStyle w:val="Paragraphedeliste"/>
        <w:numPr>
          <w:ilvl w:val="0"/>
          <w:numId w:val="4"/>
        </w:numPr>
        <w:spacing w:before="120" w:after="120"/>
        <w:ind w:left="714" w:hanging="357"/>
        <w:contextualSpacing w:val="0"/>
        <w:jc w:val="both"/>
        <w:outlineLvl w:val="0"/>
        <w:rPr>
          <w:rFonts w:eastAsia="Times New Roman" w:cs="Arial"/>
          <w:color w:val="3B3B3B"/>
          <w:kern w:val="36"/>
          <w:sz w:val="18"/>
          <w:lang w:eastAsia="fr-BE"/>
        </w:rPr>
      </w:pPr>
      <w:r w:rsidRPr="003307A2">
        <w:rPr>
          <w:rFonts w:eastAsia="Times New Roman" w:cs="Arial"/>
          <w:color w:val="3B3B3B"/>
          <w:kern w:val="36"/>
          <w:sz w:val="18"/>
          <w:lang w:val="en-GB" w:eastAsia="fr-BE"/>
        </w:rPr>
        <w:t>Lemmer, HJ; Hamman, JH (Jan 2013). "Paracellular drug absorption enhancement through tight junction modulation". </w:t>
      </w:r>
      <w:r w:rsidRPr="003307A2">
        <w:rPr>
          <w:rFonts w:eastAsia="Times New Roman" w:cs="Arial"/>
          <w:color w:val="3B3B3B"/>
          <w:kern w:val="36"/>
          <w:sz w:val="18"/>
          <w:lang w:eastAsia="fr-BE"/>
        </w:rPr>
        <w:t xml:space="preserve">Expert </w:t>
      </w:r>
      <w:proofErr w:type="spellStart"/>
      <w:r w:rsidRPr="003307A2">
        <w:rPr>
          <w:rFonts w:eastAsia="Times New Roman" w:cs="Arial"/>
          <w:color w:val="3B3B3B"/>
          <w:kern w:val="36"/>
          <w:sz w:val="18"/>
          <w:lang w:eastAsia="fr-BE"/>
        </w:rPr>
        <w:t>Opin</w:t>
      </w:r>
      <w:proofErr w:type="spellEnd"/>
      <w:r w:rsidRPr="003307A2">
        <w:rPr>
          <w:rFonts w:eastAsia="Times New Roman" w:cs="Arial"/>
          <w:color w:val="3B3B3B"/>
          <w:kern w:val="36"/>
          <w:sz w:val="18"/>
          <w:lang w:eastAsia="fr-BE"/>
        </w:rPr>
        <w:t xml:space="preserve"> Drug </w:t>
      </w:r>
      <w:proofErr w:type="spellStart"/>
      <w:r w:rsidRPr="003307A2">
        <w:rPr>
          <w:rFonts w:eastAsia="Times New Roman" w:cs="Arial"/>
          <w:color w:val="3B3B3B"/>
          <w:kern w:val="36"/>
          <w:sz w:val="18"/>
          <w:lang w:eastAsia="fr-BE"/>
        </w:rPr>
        <w:t>Deliv</w:t>
      </w:r>
      <w:proofErr w:type="spellEnd"/>
      <w:r w:rsidRPr="003307A2">
        <w:rPr>
          <w:rFonts w:eastAsia="Times New Roman" w:cs="Arial"/>
          <w:color w:val="3B3B3B"/>
          <w:kern w:val="36"/>
          <w:sz w:val="18"/>
          <w:lang w:eastAsia="fr-BE"/>
        </w:rPr>
        <w:t>. 10 (1): 103–14. </w:t>
      </w:r>
      <w:hyperlink r:id="rId44" w:tooltip="Digital object identifier" w:history="1">
        <w:proofErr w:type="spellStart"/>
        <w:r w:rsidRPr="003307A2">
          <w:rPr>
            <w:rFonts w:eastAsia="Times New Roman" w:cs="Arial"/>
            <w:color w:val="3B3B3B"/>
            <w:kern w:val="36"/>
            <w:sz w:val="18"/>
            <w:lang w:eastAsia="fr-BE"/>
          </w:rPr>
          <w:t>doi</w:t>
        </w:r>
      </w:hyperlink>
      <w:r w:rsidRPr="003307A2">
        <w:rPr>
          <w:rFonts w:eastAsia="Times New Roman" w:cs="Arial"/>
          <w:color w:val="3B3B3B"/>
          <w:kern w:val="36"/>
          <w:sz w:val="18"/>
          <w:lang w:eastAsia="fr-BE"/>
        </w:rPr>
        <w:t>:</w:t>
      </w:r>
      <w:hyperlink r:id="rId45" w:history="1">
        <w:r w:rsidRPr="003307A2">
          <w:rPr>
            <w:rFonts w:eastAsia="Times New Roman" w:cs="Arial"/>
            <w:color w:val="3B3B3B"/>
            <w:kern w:val="36"/>
            <w:sz w:val="18"/>
            <w:lang w:eastAsia="fr-BE"/>
          </w:rPr>
          <w:t>10.1517</w:t>
        </w:r>
        <w:proofErr w:type="spellEnd"/>
        <w:r w:rsidRPr="003307A2">
          <w:rPr>
            <w:rFonts w:eastAsia="Times New Roman" w:cs="Arial"/>
            <w:color w:val="3B3B3B"/>
            <w:kern w:val="36"/>
            <w:sz w:val="18"/>
            <w:lang w:eastAsia="fr-BE"/>
          </w:rPr>
          <w:t>/17425247.2013.745509</w:t>
        </w:r>
      </w:hyperlink>
      <w:r w:rsidRPr="003307A2">
        <w:rPr>
          <w:rFonts w:eastAsia="Times New Roman" w:cs="Arial"/>
          <w:color w:val="3B3B3B"/>
          <w:kern w:val="36"/>
          <w:sz w:val="18"/>
          <w:lang w:eastAsia="fr-BE"/>
        </w:rPr>
        <w:t>. </w:t>
      </w:r>
      <w:hyperlink r:id="rId46" w:tooltip="PubMed Identifier" w:history="1">
        <w:proofErr w:type="spellStart"/>
        <w:r w:rsidRPr="003307A2">
          <w:rPr>
            <w:rFonts w:eastAsia="Times New Roman" w:cs="Arial"/>
            <w:color w:val="3B3B3B"/>
            <w:kern w:val="36"/>
            <w:sz w:val="18"/>
            <w:lang w:eastAsia="fr-BE"/>
          </w:rPr>
          <w:t>PMID</w:t>
        </w:r>
        <w:proofErr w:type="spellEnd"/>
      </w:hyperlink>
      <w:r w:rsidRPr="003307A2">
        <w:rPr>
          <w:rFonts w:eastAsia="Times New Roman" w:cs="Arial"/>
          <w:color w:val="3B3B3B"/>
          <w:kern w:val="36"/>
          <w:sz w:val="18"/>
          <w:lang w:eastAsia="fr-BE"/>
        </w:rPr>
        <w:t> </w:t>
      </w:r>
      <w:hyperlink r:id="rId47" w:history="1">
        <w:r w:rsidRPr="003307A2">
          <w:rPr>
            <w:rFonts w:eastAsia="Times New Roman" w:cs="Arial"/>
            <w:color w:val="3B3B3B"/>
            <w:kern w:val="36"/>
            <w:sz w:val="18"/>
            <w:lang w:eastAsia="fr-BE"/>
          </w:rPr>
          <w:t>23163247</w:t>
        </w:r>
      </w:hyperlink>
      <w:r w:rsidRPr="003307A2">
        <w:rPr>
          <w:rFonts w:eastAsia="Times New Roman" w:cs="Arial"/>
          <w:color w:val="3B3B3B"/>
          <w:kern w:val="36"/>
          <w:sz w:val="18"/>
          <w:lang w:eastAsia="fr-BE"/>
        </w:rPr>
        <w:t>.</w:t>
      </w:r>
    </w:p>
    <w:p w:rsidR="00B0699B" w:rsidRPr="003307A2" w:rsidRDefault="00E9033F" w:rsidP="008D6017">
      <w:pPr>
        <w:pStyle w:val="Paragraphedeliste"/>
        <w:numPr>
          <w:ilvl w:val="0"/>
          <w:numId w:val="4"/>
        </w:numPr>
        <w:spacing w:before="120" w:after="120"/>
        <w:ind w:left="714" w:hanging="357"/>
        <w:contextualSpacing w:val="0"/>
        <w:jc w:val="both"/>
        <w:outlineLvl w:val="0"/>
        <w:rPr>
          <w:rFonts w:eastAsia="Times New Roman" w:cs="Arial"/>
          <w:color w:val="3B3B3B"/>
          <w:kern w:val="36"/>
          <w:sz w:val="18"/>
          <w:lang w:eastAsia="fr-BE"/>
        </w:rPr>
      </w:pPr>
      <w:hyperlink r:id="rId48" w:history="1">
        <w:r w:rsidR="00B0699B" w:rsidRPr="003307A2">
          <w:rPr>
            <w:rFonts w:eastAsia="Times New Roman" w:cs="Arial"/>
            <w:color w:val="3B3B3B"/>
            <w:kern w:val="36"/>
            <w:sz w:val="18"/>
            <w:lang w:val="en-GB" w:eastAsia="fr-BE"/>
          </w:rPr>
          <w:t>Alba Therapeutics announces positive results of phase IIb trial in celiac disease"</w:t>
        </w:r>
      </w:hyperlink>
      <w:r w:rsidR="00B0699B" w:rsidRPr="003307A2">
        <w:rPr>
          <w:rFonts w:eastAsia="Times New Roman" w:cs="Arial"/>
          <w:color w:val="3B3B3B"/>
          <w:kern w:val="36"/>
          <w:sz w:val="18"/>
          <w:lang w:val="en-GB" w:eastAsia="fr-BE"/>
        </w:rPr>
        <w:t xml:space="preserve"> (Press release). </w:t>
      </w:r>
      <w:r w:rsidR="00B0699B" w:rsidRPr="003307A2">
        <w:rPr>
          <w:rFonts w:eastAsia="Times New Roman" w:cs="Arial"/>
          <w:color w:val="3B3B3B"/>
          <w:kern w:val="36"/>
          <w:sz w:val="18"/>
          <w:lang w:eastAsia="fr-BE"/>
        </w:rPr>
        <w:t xml:space="preserve">Alba </w:t>
      </w:r>
      <w:proofErr w:type="spellStart"/>
      <w:r w:rsidR="00B0699B" w:rsidRPr="003307A2">
        <w:rPr>
          <w:rFonts w:eastAsia="Times New Roman" w:cs="Arial"/>
          <w:color w:val="3B3B3B"/>
          <w:kern w:val="36"/>
          <w:sz w:val="18"/>
          <w:lang w:eastAsia="fr-BE"/>
        </w:rPr>
        <w:t>Therapeutics</w:t>
      </w:r>
      <w:proofErr w:type="spellEnd"/>
      <w:r w:rsidR="00B0699B" w:rsidRPr="003307A2">
        <w:rPr>
          <w:rFonts w:eastAsia="Times New Roman" w:cs="Arial"/>
          <w:color w:val="3B3B3B"/>
          <w:kern w:val="36"/>
          <w:sz w:val="18"/>
          <w:lang w:eastAsia="fr-BE"/>
        </w:rPr>
        <w:t xml:space="preserve">. </w:t>
      </w:r>
      <w:proofErr w:type="spellStart"/>
      <w:r w:rsidR="00B0699B" w:rsidRPr="003307A2">
        <w:rPr>
          <w:rFonts w:eastAsia="Times New Roman" w:cs="Arial"/>
          <w:color w:val="3B3B3B"/>
          <w:kern w:val="36"/>
          <w:sz w:val="18"/>
          <w:lang w:eastAsia="fr-BE"/>
        </w:rPr>
        <w:t>February</w:t>
      </w:r>
      <w:proofErr w:type="spellEnd"/>
      <w:r w:rsidR="00B0699B" w:rsidRPr="003307A2">
        <w:rPr>
          <w:rFonts w:eastAsia="Times New Roman" w:cs="Arial"/>
          <w:color w:val="3B3B3B"/>
          <w:kern w:val="36"/>
          <w:sz w:val="18"/>
          <w:lang w:eastAsia="fr-BE"/>
        </w:rPr>
        <w:t xml:space="preserve"> 11, 2014.</w:t>
      </w:r>
    </w:p>
    <w:p w:rsidR="00B0699B" w:rsidRPr="003307A2" w:rsidRDefault="00B0699B" w:rsidP="008D6017">
      <w:pPr>
        <w:pStyle w:val="Paragraphedeliste"/>
        <w:numPr>
          <w:ilvl w:val="0"/>
          <w:numId w:val="4"/>
        </w:numPr>
        <w:spacing w:before="120" w:after="120"/>
        <w:ind w:left="714" w:hanging="357"/>
        <w:contextualSpacing w:val="0"/>
        <w:jc w:val="both"/>
        <w:outlineLvl w:val="0"/>
        <w:rPr>
          <w:rFonts w:eastAsia="Times New Roman" w:cs="Arial"/>
          <w:color w:val="3B3B3B"/>
          <w:kern w:val="36"/>
          <w:sz w:val="18"/>
          <w:lang w:eastAsia="fr-BE"/>
        </w:rPr>
      </w:pPr>
      <w:r w:rsidRPr="003307A2">
        <w:rPr>
          <w:rFonts w:eastAsia="Times New Roman" w:cs="Arial"/>
          <w:color w:val="3B3B3B"/>
          <w:kern w:val="36"/>
          <w:sz w:val="18"/>
          <w:lang w:val="en-GB" w:eastAsia="fr-BE"/>
        </w:rPr>
        <w:t xml:space="preserve">Hollon J, Puppa EL, Greenwald B, Goldberg E, Guerrerio A, Fasano A (Fev 2015). Effect of gliadin on permeability of intestinal biopsy explants from celiac disease patients and patients with non-celiac gluten sensitivity. </w:t>
      </w:r>
      <w:proofErr w:type="spellStart"/>
      <w:r w:rsidRPr="003307A2">
        <w:rPr>
          <w:rFonts w:eastAsia="Times New Roman" w:cs="Arial"/>
          <w:color w:val="3B3B3B"/>
          <w:kern w:val="36"/>
          <w:sz w:val="18"/>
          <w:lang w:eastAsia="fr-BE"/>
        </w:rPr>
        <w:t>Nutrients</w:t>
      </w:r>
      <w:proofErr w:type="spellEnd"/>
      <w:r w:rsidRPr="003307A2">
        <w:rPr>
          <w:rFonts w:eastAsia="Times New Roman" w:cs="Arial"/>
          <w:color w:val="3B3B3B"/>
          <w:kern w:val="36"/>
          <w:sz w:val="18"/>
          <w:lang w:eastAsia="fr-BE"/>
        </w:rPr>
        <w:t xml:space="preserve">. 2015 </w:t>
      </w:r>
      <w:proofErr w:type="spellStart"/>
      <w:r w:rsidRPr="003307A2">
        <w:rPr>
          <w:rFonts w:eastAsia="Times New Roman" w:cs="Arial"/>
          <w:color w:val="3B3B3B"/>
          <w:kern w:val="36"/>
          <w:sz w:val="18"/>
          <w:lang w:eastAsia="fr-BE"/>
        </w:rPr>
        <w:t>Feb</w:t>
      </w:r>
      <w:proofErr w:type="spellEnd"/>
      <w:r w:rsidRPr="003307A2">
        <w:rPr>
          <w:rFonts w:eastAsia="Times New Roman" w:cs="Arial"/>
          <w:color w:val="3B3B3B"/>
          <w:kern w:val="36"/>
          <w:sz w:val="18"/>
          <w:lang w:eastAsia="fr-BE"/>
        </w:rPr>
        <w:t xml:space="preserve"> 27</w:t>
      </w:r>
      <w:proofErr w:type="gramStart"/>
      <w:r w:rsidRPr="003307A2">
        <w:rPr>
          <w:rFonts w:eastAsia="Times New Roman" w:cs="Arial"/>
          <w:color w:val="3B3B3B"/>
          <w:kern w:val="36"/>
          <w:sz w:val="18"/>
          <w:lang w:eastAsia="fr-BE"/>
        </w:rPr>
        <w:t>;7</w:t>
      </w:r>
      <w:proofErr w:type="gramEnd"/>
      <w:r w:rsidRPr="003307A2">
        <w:rPr>
          <w:rFonts w:eastAsia="Times New Roman" w:cs="Arial"/>
          <w:color w:val="3B3B3B"/>
          <w:kern w:val="36"/>
          <w:sz w:val="18"/>
          <w:lang w:eastAsia="fr-BE"/>
        </w:rPr>
        <w:t>(3):1565-76.</w:t>
      </w:r>
    </w:p>
    <w:p w:rsidR="000F3501" w:rsidRDefault="00A378E6" w:rsidP="008D6017">
      <w:pPr>
        <w:pStyle w:val="Paragraphedeliste"/>
        <w:numPr>
          <w:ilvl w:val="0"/>
          <w:numId w:val="4"/>
        </w:numPr>
        <w:shd w:val="clear" w:color="auto" w:fill="FFFFFF"/>
        <w:spacing w:before="120"/>
        <w:ind w:right="-225"/>
        <w:jc w:val="both"/>
        <w:rPr>
          <w:rFonts w:eastAsia="Times New Roman"/>
          <w:color w:val="3B3B3B"/>
          <w:kern w:val="36"/>
          <w:sz w:val="18"/>
          <w:lang w:eastAsia="fr-BE"/>
        </w:rPr>
      </w:pPr>
      <w:proofErr w:type="spellStart"/>
      <w:r w:rsidRPr="003307A2">
        <w:rPr>
          <w:rFonts w:eastAsia="Times New Roman" w:cs="Arial"/>
          <w:color w:val="3B3B3B"/>
          <w:kern w:val="36"/>
          <w:sz w:val="18"/>
          <w:lang w:eastAsia="fr-BE"/>
        </w:rPr>
        <w:t>Debon</w:t>
      </w:r>
      <w:proofErr w:type="spellEnd"/>
      <w:r w:rsidRPr="003307A2">
        <w:rPr>
          <w:rFonts w:eastAsia="Times New Roman" w:cs="Arial"/>
          <w:color w:val="3B3B3B"/>
          <w:kern w:val="36"/>
          <w:sz w:val="18"/>
          <w:lang w:eastAsia="fr-BE"/>
        </w:rPr>
        <w:t xml:space="preserve"> A (Juin 2015), Allergie au Gluten et </w:t>
      </w:r>
      <w:proofErr w:type="spellStart"/>
      <w:r w:rsidRPr="003307A2">
        <w:rPr>
          <w:rFonts w:eastAsia="Times New Roman" w:cs="Arial"/>
          <w:color w:val="3B3B3B"/>
          <w:kern w:val="36"/>
          <w:sz w:val="18"/>
          <w:lang w:eastAsia="fr-BE"/>
        </w:rPr>
        <w:t>Zonuline</w:t>
      </w:r>
      <w:proofErr w:type="spellEnd"/>
      <w:r w:rsidRPr="003307A2">
        <w:rPr>
          <w:rFonts w:eastAsia="Times New Roman" w:cs="Arial"/>
          <w:color w:val="3B3B3B"/>
          <w:kern w:val="36"/>
          <w:sz w:val="18"/>
          <w:lang w:eastAsia="fr-BE"/>
        </w:rPr>
        <w:t>, Url:</w:t>
      </w:r>
      <w:r w:rsidRPr="003307A2">
        <w:rPr>
          <w:rFonts w:eastAsia="Times New Roman"/>
          <w:color w:val="3B3B3B"/>
          <w:kern w:val="36"/>
          <w:sz w:val="18"/>
          <w:lang w:eastAsia="fr-BE"/>
        </w:rPr>
        <w:t> </w:t>
      </w:r>
      <w:r w:rsidR="00E9033F">
        <w:fldChar w:fldCharType="begin"/>
      </w:r>
      <w:r w:rsidR="005F1EEE">
        <w:instrText>HYPERLINK "http://www.dietetique-lyon.fr/allergie-au-gluten-la-zonuline-mise-en-cause/" \t "_blank"</w:instrText>
      </w:r>
      <w:r w:rsidR="00E9033F">
        <w:fldChar w:fldCharType="separate"/>
      </w:r>
      <w:r w:rsidRPr="003307A2">
        <w:rPr>
          <w:rFonts w:eastAsia="Times New Roman"/>
          <w:color w:val="3B3B3B"/>
          <w:kern w:val="36"/>
          <w:sz w:val="18"/>
          <w:lang w:eastAsia="fr-BE"/>
        </w:rPr>
        <w:t>http://www.dietetique-lyon.fr/allergie-au-gluten-la-zonuline-mise-en-cause/</w:t>
      </w:r>
      <w:r w:rsidR="00E9033F">
        <w:fldChar w:fldCharType="end"/>
      </w:r>
    </w:p>
    <w:p w:rsidR="003307A2" w:rsidRPr="00FA1154" w:rsidRDefault="003307A2" w:rsidP="008D6017">
      <w:pPr>
        <w:pStyle w:val="Titre1"/>
        <w:pBdr>
          <w:bottom w:val="none" w:sz="0" w:space="0" w:color="auto"/>
        </w:pBdr>
        <w:shd w:val="clear" w:color="auto" w:fill="CCCCCC"/>
        <w:spacing w:after="240"/>
        <w:jc w:val="both"/>
        <w:rPr>
          <w:rFonts w:asciiTheme="minorHAnsi" w:hAnsiTheme="minorHAnsi"/>
          <w:color w:val="2B9F97"/>
          <w:sz w:val="40"/>
          <w:szCs w:val="40"/>
        </w:rPr>
      </w:pPr>
      <w:r>
        <w:rPr>
          <w:rFonts w:asciiTheme="minorHAnsi" w:hAnsiTheme="minorHAnsi"/>
          <w:color w:val="2B9F97"/>
          <w:sz w:val="40"/>
          <w:szCs w:val="40"/>
        </w:rPr>
        <w:t>Quid des produits laitiers ?</w:t>
      </w:r>
    </w:p>
    <w:bookmarkEnd w:id="0"/>
    <w:p w:rsidR="008D6017" w:rsidRDefault="008D6017" w:rsidP="008D6017">
      <w:pPr>
        <w:pStyle w:val="NormalWeb"/>
        <w:shd w:val="clear" w:color="auto" w:fill="FFFFFF"/>
        <w:spacing w:before="0" w:beforeAutospacing="0" w:after="240" w:afterAutospacing="0"/>
        <w:jc w:val="both"/>
        <w:rPr>
          <w:rFonts w:asciiTheme="minorHAnsi" w:hAnsiTheme="minorHAnsi" w:cs="Arial"/>
          <w:color w:val="3B3B3B"/>
          <w:kern w:val="36"/>
        </w:rPr>
      </w:pPr>
    </w:p>
    <w:p w:rsidR="004747A9" w:rsidRDefault="00E10403" w:rsidP="008D6017">
      <w:pPr>
        <w:pStyle w:val="NormalWeb"/>
        <w:shd w:val="clear" w:color="auto" w:fill="FFFFFF"/>
        <w:spacing w:before="0" w:beforeAutospacing="0" w:after="240" w:afterAutospacing="0"/>
        <w:jc w:val="both"/>
        <w:rPr>
          <w:rFonts w:asciiTheme="minorHAnsi" w:hAnsiTheme="minorHAnsi" w:cs="Arial"/>
          <w:color w:val="3B3B3B"/>
          <w:kern w:val="36"/>
        </w:rPr>
      </w:pPr>
      <w:r>
        <w:rPr>
          <w:rFonts w:asciiTheme="minorHAnsi" w:hAnsiTheme="minorHAnsi" w:cs="Arial"/>
          <w:color w:val="3B3B3B"/>
          <w:kern w:val="36"/>
        </w:rPr>
        <w:t>E</w:t>
      </w:r>
      <w:r w:rsidR="003307A2" w:rsidRPr="003307A2">
        <w:rPr>
          <w:rFonts w:asciiTheme="minorHAnsi" w:hAnsiTheme="minorHAnsi" w:cs="Arial"/>
          <w:color w:val="3B3B3B"/>
          <w:kern w:val="36"/>
        </w:rPr>
        <w:t xml:space="preserve">n dépit des données scientifiques accumulées depuis des décennies, </w:t>
      </w:r>
      <w:r w:rsidRPr="003307A2">
        <w:rPr>
          <w:rFonts w:asciiTheme="minorHAnsi" w:hAnsiTheme="minorHAnsi" w:cs="Arial"/>
          <w:color w:val="3B3B3B"/>
          <w:kern w:val="36"/>
        </w:rPr>
        <w:t>l’industrie</w:t>
      </w:r>
      <w:r w:rsidR="004747A9">
        <w:rPr>
          <w:rFonts w:asciiTheme="minorHAnsi" w:hAnsiTheme="minorHAnsi" w:cs="Arial"/>
          <w:color w:val="3B3B3B"/>
          <w:kern w:val="36"/>
        </w:rPr>
        <w:t xml:space="preserve"> et </w:t>
      </w:r>
      <w:r w:rsidR="004747A9" w:rsidRPr="004747A9">
        <w:rPr>
          <w:rFonts w:asciiTheme="minorHAnsi" w:hAnsiTheme="minorHAnsi" w:cs="Arial"/>
          <w:color w:val="3B3B3B"/>
          <w:kern w:val="36"/>
        </w:rPr>
        <w:t xml:space="preserve">les pouvoirs publics </w:t>
      </w:r>
      <w:r w:rsidR="004747A9">
        <w:rPr>
          <w:rFonts w:asciiTheme="minorHAnsi" w:hAnsiTheme="minorHAnsi" w:cs="Arial"/>
          <w:color w:val="3B3B3B"/>
          <w:kern w:val="36"/>
        </w:rPr>
        <w:t xml:space="preserve"> </w:t>
      </w:r>
      <w:r w:rsidR="003307A2" w:rsidRPr="003307A2">
        <w:rPr>
          <w:rFonts w:asciiTheme="minorHAnsi" w:hAnsiTheme="minorHAnsi" w:cs="Arial"/>
          <w:color w:val="3B3B3B"/>
          <w:kern w:val="36"/>
        </w:rPr>
        <w:t>s’obstinent à faire la promotion des 3 à 4 produits laitiers par jour pour prévenir les fractures et « être en bonne santé ».</w:t>
      </w:r>
    </w:p>
    <w:p w:rsidR="003307A2" w:rsidRPr="004747A9" w:rsidRDefault="003307A2" w:rsidP="008D6017">
      <w:pPr>
        <w:pStyle w:val="NormalWeb"/>
        <w:shd w:val="clear" w:color="auto" w:fill="FFFFFF"/>
        <w:spacing w:before="0" w:beforeAutospacing="0" w:after="240" w:afterAutospacing="0"/>
        <w:jc w:val="both"/>
        <w:rPr>
          <w:rFonts w:asciiTheme="minorHAnsi" w:hAnsiTheme="minorHAnsi" w:cs="Arial"/>
          <w:color w:val="3B3B3B"/>
          <w:kern w:val="36"/>
        </w:rPr>
      </w:pPr>
      <w:r w:rsidRPr="004747A9">
        <w:rPr>
          <w:rFonts w:asciiTheme="minorHAnsi" w:hAnsiTheme="minorHAnsi" w:cs="Arial"/>
          <w:color w:val="3B3B3B"/>
          <w:kern w:val="36"/>
        </w:rPr>
        <w:t>Voici les raisons pr</w:t>
      </w:r>
      <w:r w:rsidR="00E10403" w:rsidRPr="004747A9">
        <w:rPr>
          <w:rFonts w:asciiTheme="minorHAnsi" w:hAnsiTheme="minorHAnsi" w:cs="Arial"/>
          <w:color w:val="3B3B3B"/>
          <w:kern w:val="36"/>
        </w:rPr>
        <w:t>incipales pour lesquelles, nous ne recommandons pas en Nutrithérapie</w:t>
      </w:r>
      <w:r w:rsidR="004747A9" w:rsidRPr="004747A9">
        <w:rPr>
          <w:rFonts w:asciiTheme="minorHAnsi" w:hAnsiTheme="minorHAnsi" w:cs="Arial"/>
          <w:color w:val="3B3B3B"/>
          <w:kern w:val="36"/>
        </w:rPr>
        <w:t xml:space="preserve"> 3 à 4 produits laitiers par jour</w:t>
      </w:r>
      <w:r w:rsidR="004747A9">
        <w:rPr>
          <w:rFonts w:asciiTheme="minorHAnsi" w:hAnsiTheme="minorHAnsi" w:cs="Arial"/>
          <w:color w:val="3B3B3B"/>
          <w:kern w:val="36"/>
        </w:rPr>
        <w:t> :</w:t>
      </w:r>
    </w:p>
    <w:p w:rsidR="003307A2" w:rsidRPr="003307A2" w:rsidRDefault="003307A2" w:rsidP="008D6017">
      <w:pPr>
        <w:keepNext/>
        <w:spacing w:before="480" w:after="240"/>
        <w:jc w:val="both"/>
        <w:rPr>
          <w:rFonts w:eastAsiaTheme="majorEastAsia" w:cstheme="majorBidi"/>
          <w:b/>
          <w:bCs/>
          <w:caps/>
          <w:color w:val="2B9F97"/>
          <w:sz w:val="32"/>
          <w:szCs w:val="32"/>
        </w:rPr>
      </w:pPr>
      <w:r>
        <w:rPr>
          <w:rFonts w:eastAsiaTheme="majorEastAsia" w:cstheme="majorBidi"/>
          <w:b/>
          <w:bCs/>
          <w:caps/>
          <w:color w:val="2B9F97"/>
          <w:sz w:val="32"/>
          <w:szCs w:val="32"/>
        </w:rPr>
        <w:t xml:space="preserve">Les </w:t>
      </w:r>
      <w:r w:rsidRPr="003307A2">
        <w:rPr>
          <w:rFonts w:eastAsiaTheme="majorEastAsia" w:cstheme="majorBidi"/>
          <w:b/>
          <w:bCs/>
          <w:caps/>
          <w:color w:val="2B9F97"/>
          <w:sz w:val="32"/>
          <w:szCs w:val="32"/>
        </w:rPr>
        <w:t>protéines</w:t>
      </w:r>
      <w:r>
        <w:rPr>
          <w:rFonts w:eastAsiaTheme="majorEastAsia" w:cstheme="majorBidi"/>
          <w:b/>
          <w:bCs/>
          <w:caps/>
          <w:color w:val="2B9F97"/>
          <w:sz w:val="32"/>
          <w:szCs w:val="32"/>
        </w:rPr>
        <w:t xml:space="preserve"> </w:t>
      </w:r>
      <w:r w:rsidRPr="003307A2">
        <w:rPr>
          <w:rFonts w:eastAsiaTheme="majorEastAsia" w:cstheme="majorBidi"/>
          <w:b/>
          <w:bCs/>
          <w:caps/>
          <w:color w:val="2B9F97"/>
          <w:sz w:val="32"/>
          <w:szCs w:val="32"/>
        </w:rPr>
        <w:t>des produits laitiers</w:t>
      </w:r>
    </w:p>
    <w:p w:rsidR="003307A2" w:rsidRPr="003307A2" w:rsidRDefault="003307A2" w:rsidP="008D6017">
      <w:pPr>
        <w:pStyle w:val="NormalWeb"/>
        <w:shd w:val="clear" w:color="auto" w:fill="FFFFFF"/>
        <w:spacing w:before="0" w:beforeAutospacing="0" w:after="240" w:afterAutospacing="0"/>
        <w:jc w:val="both"/>
        <w:rPr>
          <w:rFonts w:asciiTheme="minorHAnsi" w:hAnsiTheme="minorHAnsi" w:cs="Arial"/>
          <w:color w:val="3B3B3B"/>
          <w:kern w:val="36"/>
        </w:rPr>
      </w:pPr>
      <w:r w:rsidRPr="003307A2">
        <w:rPr>
          <w:rFonts w:asciiTheme="minorHAnsi" w:hAnsiTheme="minorHAnsi" w:cs="Arial"/>
          <w:noProof/>
          <w:color w:val="3B3B3B"/>
          <w:kern w:val="36"/>
          <w:lang w:val="fr-FR" w:eastAsia="fr-FR"/>
        </w:rPr>
        <w:drawing>
          <wp:inline distT="0" distB="0" distL="0" distR="0">
            <wp:extent cx="3747135" cy="1569085"/>
            <wp:effectExtent l="0" t="0" r="5715" b="0"/>
            <wp:docPr id="7" name="Image 7" descr="enfant_allergie_l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fant_allergie_lait"/>
                    <pic:cNvPicPr>
                      <a:picLocks noChangeAspect="1" noChangeArrowheads="1"/>
                    </pic:cNvPicPr>
                  </pic:nvPicPr>
                  <pic:blipFill>
                    <a:blip r:embed="rId49">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7135" cy="1569085"/>
                    </a:xfrm>
                    <a:prstGeom prst="rect">
                      <a:avLst/>
                    </a:prstGeom>
                    <a:noFill/>
                    <a:ln>
                      <a:noFill/>
                    </a:ln>
                  </pic:spPr>
                </pic:pic>
              </a:graphicData>
            </a:graphic>
          </wp:inline>
        </w:drawing>
      </w:r>
    </w:p>
    <w:p w:rsidR="003307A2" w:rsidRPr="003307A2" w:rsidRDefault="003307A2" w:rsidP="008D6017">
      <w:pPr>
        <w:pStyle w:val="NormalWeb"/>
        <w:numPr>
          <w:ilvl w:val="0"/>
          <w:numId w:val="11"/>
        </w:numPr>
        <w:shd w:val="clear" w:color="auto" w:fill="FFFFFF"/>
        <w:spacing w:before="0" w:beforeAutospacing="0" w:after="240" w:afterAutospacing="0"/>
        <w:jc w:val="both"/>
        <w:rPr>
          <w:rFonts w:asciiTheme="minorHAnsi" w:hAnsiTheme="minorHAnsi" w:cs="Arial"/>
          <w:color w:val="3B3B3B"/>
          <w:kern w:val="36"/>
        </w:rPr>
      </w:pPr>
      <w:r w:rsidRPr="003307A2">
        <w:rPr>
          <w:rFonts w:asciiTheme="minorHAnsi" w:hAnsiTheme="minorHAnsi" w:cs="Arial"/>
          <w:color w:val="3B3B3B"/>
          <w:kern w:val="36"/>
        </w:rPr>
        <w:t>Les protéines du lait (caséine…) sont les allergènes alimentaires les plus incriminés dans les allergies alimentaires. Ces allergies peuvent favoriser : les pathologies auto-immunes, l’hyperactivité, l’autisme (passage de peptides opioïdes interférant avec les endorphines), les infections ORL peuvent être aus</w:t>
      </w:r>
      <w:r w:rsidR="00AE43F5">
        <w:rPr>
          <w:rFonts w:asciiTheme="minorHAnsi" w:hAnsiTheme="minorHAnsi" w:cs="Arial"/>
          <w:color w:val="3B3B3B"/>
          <w:kern w:val="36"/>
        </w:rPr>
        <w:t>si favorisées par les allergies ;</w:t>
      </w:r>
    </w:p>
    <w:p w:rsidR="003307A2" w:rsidRPr="003307A2" w:rsidRDefault="003307A2" w:rsidP="008D6017">
      <w:pPr>
        <w:pStyle w:val="NormalWeb"/>
        <w:numPr>
          <w:ilvl w:val="0"/>
          <w:numId w:val="11"/>
        </w:numPr>
        <w:shd w:val="clear" w:color="auto" w:fill="FFFFFF"/>
        <w:spacing w:before="0" w:beforeAutospacing="0" w:after="240" w:afterAutospacing="0"/>
        <w:jc w:val="both"/>
        <w:rPr>
          <w:rFonts w:asciiTheme="minorHAnsi" w:hAnsiTheme="minorHAnsi" w:cs="Arial"/>
          <w:color w:val="3B3B3B"/>
          <w:kern w:val="36"/>
        </w:rPr>
      </w:pPr>
      <w:r w:rsidRPr="003307A2">
        <w:rPr>
          <w:rFonts w:asciiTheme="minorHAnsi" w:hAnsiTheme="minorHAnsi" w:cs="Arial"/>
          <w:color w:val="3B3B3B"/>
          <w:kern w:val="36"/>
        </w:rPr>
        <w:t>génèrent chez certains des auto-anticorps associés au risque de diabète de type 1</w:t>
      </w:r>
      <w:r w:rsidR="00AE43F5">
        <w:rPr>
          <w:rFonts w:asciiTheme="minorHAnsi" w:hAnsiTheme="minorHAnsi" w:cs="Arial"/>
          <w:color w:val="3B3B3B"/>
          <w:kern w:val="36"/>
        </w:rPr>
        <w:t> ;</w:t>
      </w:r>
    </w:p>
    <w:p w:rsidR="003307A2" w:rsidRPr="003307A2" w:rsidRDefault="003307A2" w:rsidP="008D6017">
      <w:pPr>
        <w:pStyle w:val="NormalWeb"/>
        <w:numPr>
          <w:ilvl w:val="0"/>
          <w:numId w:val="11"/>
        </w:numPr>
        <w:shd w:val="clear" w:color="auto" w:fill="FFFFFF"/>
        <w:spacing w:before="0" w:beforeAutospacing="0" w:after="240" w:afterAutospacing="0"/>
        <w:jc w:val="both"/>
        <w:rPr>
          <w:rFonts w:asciiTheme="minorHAnsi" w:hAnsiTheme="minorHAnsi" w:cs="Arial"/>
          <w:color w:val="3B3B3B"/>
          <w:kern w:val="36"/>
        </w:rPr>
      </w:pPr>
      <w:r w:rsidRPr="003307A2">
        <w:rPr>
          <w:rFonts w:asciiTheme="minorHAnsi" w:hAnsiTheme="minorHAnsi" w:cs="Arial"/>
          <w:color w:val="3B3B3B"/>
          <w:kern w:val="36"/>
        </w:rPr>
        <w:t>ont un rapport Arginine/Lysine faible qui potentialise l’a</w:t>
      </w:r>
      <w:r w:rsidR="00AE43F5">
        <w:rPr>
          <w:rFonts w:asciiTheme="minorHAnsi" w:hAnsiTheme="minorHAnsi" w:cs="Arial"/>
          <w:color w:val="3B3B3B"/>
          <w:kern w:val="36"/>
        </w:rPr>
        <w:t>bsorption des graisses du repas ;</w:t>
      </w:r>
    </w:p>
    <w:p w:rsidR="003307A2" w:rsidRPr="003307A2" w:rsidRDefault="003307A2" w:rsidP="008D6017">
      <w:pPr>
        <w:pStyle w:val="NormalWeb"/>
        <w:numPr>
          <w:ilvl w:val="0"/>
          <w:numId w:val="11"/>
        </w:numPr>
        <w:shd w:val="clear" w:color="auto" w:fill="FFFFFF"/>
        <w:spacing w:before="0" w:beforeAutospacing="0" w:after="240" w:afterAutospacing="0"/>
        <w:jc w:val="both"/>
        <w:rPr>
          <w:rFonts w:asciiTheme="minorHAnsi" w:hAnsiTheme="minorHAnsi" w:cs="Arial"/>
          <w:color w:val="3B3B3B"/>
          <w:kern w:val="36"/>
        </w:rPr>
      </w:pPr>
      <w:r w:rsidRPr="003307A2">
        <w:rPr>
          <w:rFonts w:asciiTheme="minorHAnsi" w:hAnsiTheme="minorHAnsi" w:cs="Arial"/>
          <w:color w:val="3B3B3B"/>
          <w:kern w:val="36"/>
        </w:rPr>
        <w:t>sont riches en Leucine, un acide aminé stimulant la voie pro-inflammatoire, accélératrice du vieillissement et pro-oncogène mTOR</w:t>
      </w:r>
      <w:r w:rsidR="00AE43F5">
        <w:rPr>
          <w:rFonts w:asciiTheme="minorHAnsi" w:hAnsiTheme="minorHAnsi" w:cs="Arial"/>
          <w:color w:val="3B3B3B"/>
          <w:kern w:val="36"/>
        </w:rPr>
        <w:t> ;</w:t>
      </w:r>
    </w:p>
    <w:p w:rsidR="003307A2" w:rsidRPr="003307A2" w:rsidRDefault="003307A2" w:rsidP="008D6017">
      <w:pPr>
        <w:pStyle w:val="NormalWeb"/>
        <w:numPr>
          <w:ilvl w:val="0"/>
          <w:numId w:val="11"/>
        </w:numPr>
        <w:shd w:val="clear" w:color="auto" w:fill="FFFFFF"/>
        <w:spacing w:before="0" w:beforeAutospacing="0" w:after="240" w:afterAutospacing="0"/>
        <w:jc w:val="both"/>
        <w:rPr>
          <w:rFonts w:asciiTheme="minorHAnsi" w:hAnsiTheme="minorHAnsi" w:cs="Arial"/>
          <w:color w:val="3B3B3B"/>
          <w:kern w:val="36"/>
        </w:rPr>
      </w:pPr>
      <w:r w:rsidRPr="003307A2">
        <w:rPr>
          <w:rFonts w:asciiTheme="minorHAnsi" w:hAnsiTheme="minorHAnsi" w:cs="Arial"/>
          <w:color w:val="3B3B3B"/>
          <w:kern w:val="36"/>
        </w:rPr>
        <w:t>stimulent la sécrétion d’IGF1, un autre accélérateur du vieillissement et promoteur de croissance tumorale</w:t>
      </w:r>
      <w:r w:rsidR="00AE43F5">
        <w:rPr>
          <w:rFonts w:asciiTheme="minorHAnsi" w:hAnsiTheme="minorHAnsi" w:cs="Arial"/>
          <w:color w:val="3B3B3B"/>
          <w:kern w:val="36"/>
        </w:rPr>
        <w:t>.</w:t>
      </w:r>
    </w:p>
    <w:p w:rsidR="003307A2" w:rsidRPr="003307A2" w:rsidRDefault="003307A2" w:rsidP="008D6017">
      <w:pPr>
        <w:keepNext/>
        <w:spacing w:before="480" w:after="240"/>
        <w:jc w:val="both"/>
        <w:rPr>
          <w:rFonts w:eastAsiaTheme="majorEastAsia" w:cstheme="majorBidi"/>
          <w:b/>
          <w:bCs/>
          <w:caps/>
          <w:color w:val="2B9F97"/>
          <w:sz w:val="32"/>
          <w:szCs w:val="32"/>
        </w:rPr>
      </w:pPr>
      <w:r>
        <w:rPr>
          <w:rFonts w:eastAsiaTheme="majorEastAsia" w:cstheme="majorBidi"/>
          <w:b/>
          <w:bCs/>
          <w:caps/>
          <w:color w:val="2B9F97"/>
          <w:sz w:val="32"/>
          <w:szCs w:val="32"/>
        </w:rPr>
        <w:t xml:space="preserve">Les </w:t>
      </w:r>
      <w:r w:rsidRPr="003307A2">
        <w:rPr>
          <w:rFonts w:eastAsiaTheme="majorEastAsia" w:cstheme="majorBidi"/>
          <w:b/>
          <w:bCs/>
          <w:caps/>
          <w:color w:val="2B9F97"/>
          <w:sz w:val="32"/>
          <w:szCs w:val="32"/>
        </w:rPr>
        <w:t>graisses</w:t>
      </w:r>
      <w:r>
        <w:rPr>
          <w:rFonts w:eastAsiaTheme="majorEastAsia" w:cstheme="majorBidi"/>
          <w:b/>
          <w:bCs/>
          <w:caps/>
          <w:color w:val="2B9F97"/>
          <w:sz w:val="32"/>
          <w:szCs w:val="32"/>
        </w:rPr>
        <w:t xml:space="preserve"> </w:t>
      </w:r>
      <w:r w:rsidRPr="003307A2">
        <w:rPr>
          <w:rFonts w:eastAsiaTheme="majorEastAsia" w:cstheme="majorBidi"/>
          <w:b/>
          <w:bCs/>
          <w:caps/>
          <w:color w:val="2B9F97"/>
          <w:sz w:val="32"/>
          <w:szCs w:val="32"/>
        </w:rPr>
        <w:t>des produits laitiers</w:t>
      </w:r>
    </w:p>
    <w:p w:rsidR="003307A2" w:rsidRPr="003307A2" w:rsidRDefault="003307A2" w:rsidP="008D6017">
      <w:pPr>
        <w:pStyle w:val="NormalWeb"/>
        <w:numPr>
          <w:ilvl w:val="0"/>
          <w:numId w:val="12"/>
        </w:numPr>
        <w:shd w:val="clear" w:color="auto" w:fill="FFFFFF"/>
        <w:spacing w:before="0" w:beforeAutospacing="0" w:after="240" w:afterAutospacing="0"/>
        <w:jc w:val="both"/>
        <w:rPr>
          <w:rFonts w:asciiTheme="minorHAnsi" w:hAnsiTheme="minorHAnsi" w:cs="Arial"/>
          <w:color w:val="3B3B3B"/>
          <w:kern w:val="36"/>
        </w:rPr>
      </w:pPr>
      <w:r w:rsidRPr="003307A2">
        <w:rPr>
          <w:rFonts w:asciiTheme="minorHAnsi" w:hAnsiTheme="minorHAnsi" w:cs="Arial"/>
          <w:color w:val="3B3B3B"/>
          <w:kern w:val="36"/>
        </w:rPr>
        <w:t>Les acides gras sont majoritairement saturés et trans, les deux types d’acides gras les plus délétères sur le surpoids, la santé cardiovasculaire, les risques allergiques et inflammatoires, Le lait ne contient des acides</w:t>
      </w:r>
      <w:r w:rsidR="00AE43F5">
        <w:rPr>
          <w:rFonts w:asciiTheme="minorHAnsi" w:hAnsiTheme="minorHAnsi" w:cs="Arial"/>
          <w:color w:val="3B3B3B"/>
          <w:kern w:val="36"/>
        </w:rPr>
        <w:t xml:space="preserve"> gras positifs : oméga 3 et CLA </w:t>
      </w:r>
      <w:r w:rsidRPr="00AE43F5">
        <w:rPr>
          <w:rFonts w:asciiTheme="minorHAnsi" w:hAnsiTheme="minorHAnsi" w:cs="Arial"/>
          <w:color w:val="3B3B3B"/>
          <w:kern w:val="36"/>
          <w:u w:val="single"/>
        </w:rPr>
        <w:t>que chez des vaches qui broutent de l’herbe en extérieur</w:t>
      </w:r>
      <w:r w:rsidRPr="003307A2">
        <w:rPr>
          <w:rFonts w:asciiTheme="minorHAnsi" w:hAnsiTheme="minorHAnsi" w:cs="Arial"/>
          <w:color w:val="3B3B3B"/>
          <w:kern w:val="36"/>
        </w:rPr>
        <w:t>.</w:t>
      </w:r>
    </w:p>
    <w:p w:rsidR="008D6017" w:rsidRDefault="003307A2" w:rsidP="008D6017">
      <w:pPr>
        <w:pStyle w:val="NormalWeb"/>
        <w:numPr>
          <w:ilvl w:val="0"/>
          <w:numId w:val="12"/>
        </w:numPr>
        <w:shd w:val="clear" w:color="auto" w:fill="FFFFFF"/>
        <w:spacing w:before="0" w:beforeAutospacing="0" w:after="240" w:afterAutospacing="0"/>
        <w:jc w:val="both"/>
        <w:rPr>
          <w:rFonts w:asciiTheme="minorHAnsi" w:hAnsiTheme="minorHAnsi" w:cs="Arial"/>
          <w:color w:val="3B3B3B"/>
          <w:kern w:val="36"/>
        </w:rPr>
      </w:pPr>
      <w:r w:rsidRPr="003307A2">
        <w:rPr>
          <w:rFonts w:asciiTheme="minorHAnsi" w:hAnsiTheme="minorHAnsi" w:cs="Arial"/>
          <w:color w:val="3B3B3B"/>
          <w:kern w:val="36"/>
        </w:rPr>
        <w:t>Les graisses saturées forment des savons avec le calcium (et le magnésium) ce qui les entraîne dans les toilettes. Les graisses “se collent” au calcium et forment des savons inabsorbables.</w:t>
      </w:r>
    </w:p>
    <w:p w:rsidR="008D6017" w:rsidRPr="008D6017" w:rsidRDefault="008D6017" w:rsidP="008D6017">
      <w:pPr>
        <w:pStyle w:val="NormalWeb"/>
        <w:shd w:val="clear" w:color="auto" w:fill="FFFFFF"/>
        <w:spacing w:before="0" w:beforeAutospacing="0" w:after="240" w:afterAutospacing="0"/>
        <w:ind w:left="720"/>
        <w:jc w:val="both"/>
        <w:rPr>
          <w:rFonts w:asciiTheme="minorHAnsi" w:hAnsiTheme="minorHAnsi" w:cs="Arial"/>
          <w:color w:val="3B3B3B"/>
          <w:kern w:val="36"/>
        </w:rPr>
      </w:pPr>
    </w:p>
    <w:p w:rsidR="003307A2" w:rsidRPr="008D6017" w:rsidRDefault="003307A2" w:rsidP="008D6017">
      <w:pPr>
        <w:keepNext/>
        <w:spacing w:before="480" w:after="240"/>
        <w:jc w:val="both"/>
        <w:rPr>
          <w:rFonts w:eastAsiaTheme="majorEastAsia" w:cstheme="majorBidi"/>
          <w:b/>
          <w:bCs/>
          <w:caps/>
          <w:color w:val="2B9F97"/>
          <w:sz w:val="32"/>
          <w:szCs w:val="32"/>
        </w:rPr>
      </w:pPr>
      <w:r w:rsidRPr="003307A2">
        <w:rPr>
          <w:rFonts w:eastAsiaTheme="majorEastAsia" w:cstheme="majorBidi"/>
          <w:b/>
          <w:bCs/>
          <w:caps/>
          <w:color w:val="2B9F97"/>
          <w:sz w:val="32"/>
          <w:szCs w:val="32"/>
        </w:rPr>
        <w:t>Le lactose</w:t>
      </w:r>
    </w:p>
    <w:p w:rsidR="003307A2" w:rsidRPr="003307A2" w:rsidRDefault="008D6017" w:rsidP="008D6017">
      <w:pPr>
        <w:pStyle w:val="NormalWeb"/>
        <w:numPr>
          <w:ilvl w:val="0"/>
          <w:numId w:val="13"/>
        </w:numPr>
        <w:shd w:val="clear" w:color="auto" w:fill="FFFFFF"/>
        <w:spacing w:before="0" w:beforeAutospacing="0" w:after="240" w:afterAutospacing="0"/>
        <w:jc w:val="both"/>
        <w:rPr>
          <w:rFonts w:asciiTheme="minorHAnsi" w:hAnsiTheme="minorHAnsi" w:cs="Arial"/>
          <w:color w:val="3B3B3B"/>
          <w:kern w:val="36"/>
        </w:rPr>
      </w:pPr>
      <w:r>
        <w:rPr>
          <w:rFonts w:asciiTheme="minorHAnsi" w:hAnsiTheme="minorHAnsi" w:cs="Arial"/>
          <w:b/>
          <w:noProof/>
          <w:color w:val="3B3B3B"/>
          <w:kern w:val="36"/>
          <w:lang w:val="fr-FR" w:eastAsia="fr-FR"/>
        </w:rPr>
        <w:drawing>
          <wp:anchor distT="0" distB="0" distL="114300" distR="114300" simplePos="0" relativeHeight="251660288" behindDoc="0" locked="0" layoutInCell="1" allowOverlap="1">
            <wp:simplePos x="0" y="0"/>
            <wp:positionH relativeFrom="column">
              <wp:posOffset>4631055</wp:posOffset>
            </wp:positionH>
            <wp:positionV relativeFrom="paragraph">
              <wp:posOffset>57785</wp:posOffset>
            </wp:positionV>
            <wp:extent cx="1981835" cy="1313815"/>
            <wp:effectExtent l="25400" t="0" r="0" b="0"/>
            <wp:wrapTight wrapText="bothSides">
              <wp:wrapPolygon edited="0">
                <wp:start x="-277" y="0"/>
                <wp:lineTo x="-277" y="21297"/>
                <wp:lineTo x="21593" y="21297"/>
                <wp:lineTo x="21593" y="0"/>
                <wp:lineTo x="-277" y="0"/>
              </wp:wrapPolygon>
            </wp:wrapTight>
            <wp:docPr id="6" name="" descr="180120-lactose-intole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80120-lactose-intolerance"/>
                    <pic:cNvPicPr>
                      <a:picLocks noChangeAspect="1" noChangeArrowheads="1"/>
                    </pic:cNvPicPr>
                  </pic:nvPicPr>
                  <pic:blipFill>
                    <a:blip r:embed="rId50">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1835" cy="1313815"/>
                    </a:xfrm>
                    <a:prstGeom prst="rect">
                      <a:avLst/>
                    </a:prstGeom>
                    <a:noFill/>
                    <a:ln>
                      <a:noFill/>
                    </a:ln>
                  </pic:spPr>
                </pic:pic>
              </a:graphicData>
            </a:graphic>
          </wp:anchor>
        </w:drawing>
      </w:r>
      <w:r w:rsidR="003307A2" w:rsidRPr="00AE43F5">
        <w:rPr>
          <w:rFonts w:asciiTheme="minorHAnsi" w:hAnsiTheme="minorHAnsi" w:cs="Arial"/>
          <w:b/>
          <w:color w:val="3B3B3B"/>
          <w:kern w:val="36"/>
        </w:rPr>
        <w:t>L’intolérance au lactose</w:t>
      </w:r>
      <w:r w:rsidR="00AE43F5">
        <w:rPr>
          <w:rFonts w:asciiTheme="minorHAnsi" w:hAnsiTheme="minorHAnsi" w:cs="Arial"/>
          <w:color w:val="3B3B3B"/>
          <w:kern w:val="36"/>
        </w:rPr>
        <w:t xml:space="preserve"> </w:t>
      </w:r>
      <w:r w:rsidR="003307A2" w:rsidRPr="003307A2">
        <w:rPr>
          <w:rFonts w:asciiTheme="minorHAnsi" w:hAnsiTheme="minorHAnsi" w:cs="Arial"/>
          <w:color w:val="3B3B3B"/>
          <w:kern w:val="36"/>
        </w:rPr>
        <w:t>concernerait de 10 à 30 % des populations européennes et américaines du nord, 75% en moyenne dans le monde. Si le lactose est mal digéré (par manque de Lactase), il peut être source de troubles digestifs ballonnements, des diarrhées, des douleurs abdominales, des crampes abdominales, des céphalées, des vomissements (surtout chez l’enfant), une constipation.</w:t>
      </w:r>
    </w:p>
    <w:p w:rsidR="003307A2" w:rsidRPr="003307A2" w:rsidRDefault="003307A2" w:rsidP="008D6017">
      <w:pPr>
        <w:pStyle w:val="NormalWeb"/>
        <w:numPr>
          <w:ilvl w:val="0"/>
          <w:numId w:val="13"/>
        </w:numPr>
        <w:shd w:val="clear" w:color="auto" w:fill="FFFFFF"/>
        <w:spacing w:before="0" w:beforeAutospacing="0" w:after="240" w:afterAutospacing="0"/>
        <w:jc w:val="both"/>
        <w:rPr>
          <w:rFonts w:asciiTheme="minorHAnsi" w:hAnsiTheme="minorHAnsi" w:cs="Arial"/>
          <w:color w:val="3B3B3B"/>
          <w:kern w:val="36"/>
        </w:rPr>
      </w:pPr>
      <w:r w:rsidRPr="003307A2">
        <w:rPr>
          <w:rFonts w:asciiTheme="minorHAnsi" w:hAnsiTheme="minorHAnsi" w:cs="Arial"/>
          <w:color w:val="3B3B3B"/>
          <w:kern w:val="36"/>
        </w:rPr>
        <w:t>Mais si le lactose est digéré, le galactose s’accumule tout au long de la vie dans les tissus, en particulier le cristallin et dans les gaines des nerfs où le galactose est transformé en galactitol par l’aldose réductase. Le galactitol, très hygroscopique, attire l’eau, fait craquer les protéines</w:t>
      </w:r>
      <w:r w:rsidR="00AE43F5">
        <w:rPr>
          <w:rFonts w:asciiTheme="minorHAnsi" w:hAnsiTheme="minorHAnsi" w:cs="Arial"/>
          <w:color w:val="3B3B3B"/>
          <w:kern w:val="36"/>
        </w:rPr>
        <w:t xml:space="preserve"> du cristallin, ce qui entraîne </w:t>
      </w:r>
      <w:r w:rsidRPr="003307A2">
        <w:rPr>
          <w:rFonts w:asciiTheme="minorHAnsi" w:hAnsiTheme="minorHAnsi" w:cs="Arial"/>
          <w:color w:val="3B3B3B"/>
          <w:kern w:val="36"/>
        </w:rPr>
        <w:t xml:space="preserve">une </w:t>
      </w:r>
      <w:r w:rsidRPr="00AE43F5">
        <w:rPr>
          <w:rFonts w:asciiTheme="minorHAnsi" w:hAnsiTheme="minorHAnsi" w:cs="Arial"/>
          <w:b/>
          <w:color w:val="3B3B3B"/>
          <w:kern w:val="36"/>
        </w:rPr>
        <w:t>cataracte précoce</w:t>
      </w:r>
      <w:r w:rsidR="00AE43F5">
        <w:rPr>
          <w:rFonts w:asciiTheme="minorHAnsi" w:hAnsiTheme="minorHAnsi" w:cs="Arial"/>
          <w:b/>
          <w:color w:val="3B3B3B"/>
          <w:kern w:val="36"/>
        </w:rPr>
        <w:t xml:space="preserve"> </w:t>
      </w:r>
      <w:r w:rsidRPr="003307A2">
        <w:rPr>
          <w:rFonts w:asciiTheme="minorHAnsi" w:hAnsiTheme="minorHAnsi" w:cs="Arial"/>
          <w:color w:val="3B3B3B"/>
          <w:kern w:val="36"/>
        </w:rPr>
        <w:t>et comprime les nerfs, ce qui donne des neuropathies périphériques. (évidemment, plus précoces chez les diabétiques, mais ce phénomène touche aussi les non diabétiques gros consommateurs de sucres rapides). Vous imaginez les dégâts d’une consommation de lait chez le diabétique !!! Les études montrent que la consommation de 100 ml de lait par jour ou plus multiplie par 3 le risque de cataracte chez les personnes âgées</w:t>
      </w:r>
      <w:r w:rsidR="00AE43F5">
        <w:rPr>
          <w:rFonts w:asciiTheme="minorHAnsi" w:hAnsiTheme="minorHAnsi" w:cs="Arial"/>
          <w:color w:val="3B3B3B"/>
          <w:kern w:val="36"/>
        </w:rPr>
        <w:t xml:space="preserve"> et par 6 chez les diabétiques. </w:t>
      </w:r>
      <w:r w:rsidR="004777EF">
        <w:rPr>
          <w:rFonts w:asciiTheme="minorHAnsi" w:hAnsiTheme="minorHAnsi" w:cs="Arial"/>
          <w:color w:val="3B3B3B"/>
          <w:kern w:val="36"/>
        </w:rPr>
        <w:t>Ines Birlouez Aragon (</w:t>
      </w:r>
      <w:r w:rsidR="00E9033F">
        <w:fldChar w:fldCharType="begin"/>
      </w:r>
      <w:r w:rsidR="00E9033F">
        <w:instrText>HYPERLINK "http://hal.archives-ouvertes.fr/docs/00/89/94/51/PDF/hal-00899451.pdf"</w:instrText>
      </w:r>
      <w:r w:rsidR="00E9033F">
        <w:fldChar w:fldCharType="separate"/>
      </w:r>
      <w:r w:rsidRPr="003307A2">
        <w:rPr>
          <w:rFonts w:asciiTheme="minorHAnsi" w:hAnsiTheme="minorHAnsi" w:cs="Arial"/>
          <w:color w:val="3B3B3B"/>
          <w:kern w:val="36"/>
        </w:rPr>
        <w:t>http://hal.archives-ouvertes.fr/docs/00/89/94/51/PDF/hal-00899451.pdf</w:t>
      </w:r>
      <w:r w:rsidR="00E9033F">
        <w:fldChar w:fldCharType="end"/>
      </w:r>
      <w:r w:rsidR="004777EF">
        <w:rPr>
          <w:rFonts w:asciiTheme="minorHAnsi" w:hAnsiTheme="minorHAnsi" w:cs="Arial"/>
          <w:color w:val="3B3B3B"/>
          <w:kern w:val="36"/>
        </w:rPr>
        <w:t>)</w:t>
      </w:r>
    </w:p>
    <w:p w:rsidR="003307A2" w:rsidRPr="00435AA0" w:rsidRDefault="003307A2" w:rsidP="00435AA0">
      <w:pPr>
        <w:pStyle w:val="NormalWeb"/>
        <w:numPr>
          <w:ilvl w:val="0"/>
          <w:numId w:val="13"/>
        </w:numPr>
        <w:shd w:val="clear" w:color="auto" w:fill="FFFFFF"/>
        <w:spacing w:before="0" w:beforeAutospacing="0" w:after="240" w:afterAutospacing="0"/>
        <w:jc w:val="both"/>
        <w:rPr>
          <w:rFonts w:asciiTheme="minorHAnsi" w:hAnsiTheme="minorHAnsi" w:cs="Arial"/>
          <w:color w:val="3B3B3B"/>
          <w:kern w:val="36"/>
        </w:rPr>
      </w:pPr>
      <w:r w:rsidRPr="003307A2">
        <w:rPr>
          <w:rFonts w:asciiTheme="minorHAnsi" w:hAnsiTheme="minorHAnsi" w:cs="Arial"/>
          <w:color w:val="3B3B3B"/>
          <w:kern w:val="36"/>
        </w:rPr>
        <w:t>Le galactose à des doses correspondant à celles de 1 à 2 verres de lait chez les animaux de laboratoire : augmente le stress oxydatif et l’inflammation, a un effet immunodépresseur, altère la transcription des gènes, entraîne des phénomènes de neuro</w:t>
      </w:r>
      <w:r w:rsidR="00AE43F5">
        <w:rPr>
          <w:rFonts w:asciiTheme="minorHAnsi" w:hAnsiTheme="minorHAnsi" w:cs="Arial"/>
          <w:color w:val="3B3B3B"/>
          <w:kern w:val="36"/>
        </w:rPr>
        <w:t>-dé</w:t>
      </w:r>
      <w:r w:rsidRPr="003307A2">
        <w:rPr>
          <w:rFonts w:asciiTheme="minorHAnsi" w:hAnsiTheme="minorHAnsi" w:cs="Arial"/>
          <w:color w:val="3B3B3B"/>
          <w:kern w:val="36"/>
        </w:rPr>
        <w:t xml:space="preserve">générescence précoce, provoque des troubles de la mémoire et un déclin cognitif, accélère le </w:t>
      </w:r>
      <w:r w:rsidR="00AE43F5" w:rsidRPr="003307A2">
        <w:rPr>
          <w:rFonts w:asciiTheme="minorHAnsi" w:hAnsiTheme="minorHAnsi" w:cs="Arial"/>
          <w:color w:val="3B3B3B"/>
          <w:kern w:val="36"/>
        </w:rPr>
        <w:t>vieillissement</w:t>
      </w:r>
      <w:r w:rsidRPr="003307A2">
        <w:rPr>
          <w:rFonts w:asciiTheme="minorHAnsi" w:hAnsiTheme="minorHAnsi" w:cs="Arial"/>
          <w:color w:val="3B3B3B"/>
          <w:kern w:val="36"/>
        </w:rPr>
        <w:t>, raccourcit la durée de vie. (1-4)</w:t>
      </w:r>
    </w:p>
    <w:p w:rsidR="008D6017" w:rsidRPr="008D6017" w:rsidRDefault="00AE43F5" w:rsidP="008D6017">
      <w:pPr>
        <w:keepNext/>
        <w:spacing w:before="480" w:after="240"/>
        <w:jc w:val="both"/>
        <w:rPr>
          <w:rFonts w:eastAsiaTheme="majorEastAsia" w:cstheme="majorBidi"/>
          <w:b/>
          <w:bCs/>
          <w:caps/>
          <w:color w:val="2B9F97"/>
          <w:sz w:val="32"/>
          <w:szCs w:val="32"/>
        </w:rPr>
      </w:pPr>
      <w:r>
        <w:rPr>
          <w:rFonts w:eastAsiaTheme="majorEastAsia" w:cstheme="majorBidi"/>
          <w:b/>
          <w:bCs/>
          <w:caps/>
          <w:color w:val="2B9F97"/>
          <w:sz w:val="32"/>
          <w:szCs w:val="32"/>
        </w:rPr>
        <w:t xml:space="preserve">Produits laitiers et </w:t>
      </w:r>
      <w:r w:rsidR="003307A2" w:rsidRPr="003307A2">
        <w:rPr>
          <w:rFonts w:eastAsiaTheme="majorEastAsia" w:cstheme="majorBidi"/>
          <w:b/>
          <w:bCs/>
          <w:caps/>
          <w:color w:val="2B9F97"/>
          <w:sz w:val="32"/>
          <w:szCs w:val="32"/>
        </w:rPr>
        <w:t>diabète</w:t>
      </w:r>
    </w:p>
    <w:p w:rsidR="003307A2" w:rsidRPr="003307A2" w:rsidRDefault="008D6017" w:rsidP="008D6017">
      <w:pPr>
        <w:pStyle w:val="NormalWeb"/>
        <w:shd w:val="clear" w:color="auto" w:fill="FFFFFF"/>
        <w:spacing w:before="0" w:beforeAutospacing="0" w:after="240" w:afterAutospacing="0"/>
        <w:jc w:val="both"/>
        <w:rPr>
          <w:rFonts w:asciiTheme="minorHAnsi" w:hAnsiTheme="minorHAnsi" w:cs="Arial"/>
          <w:color w:val="3B3B3B"/>
          <w:kern w:val="36"/>
        </w:rPr>
      </w:pPr>
      <w:r>
        <w:rPr>
          <w:rFonts w:asciiTheme="minorHAnsi" w:hAnsiTheme="minorHAnsi" w:cs="Arial"/>
          <w:noProof/>
          <w:color w:val="3B3B3B"/>
          <w:kern w:val="36"/>
          <w:lang w:val="fr-FR" w:eastAsia="fr-FR"/>
        </w:rPr>
        <w:drawing>
          <wp:anchor distT="0" distB="0" distL="114300" distR="114300" simplePos="0" relativeHeight="251661312" behindDoc="0" locked="0" layoutInCell="1" allowOverlap="1">
            <wp:simplePos x="0" y="0"/>
            <wp:positionH relativeFrom="column">
              <wp:posOffset>4445</wp:posOffset>
            </wp:positionH>
            <wp:positionV relativeFrom="paragraph">
              <wp:posOffset>603250</wp:posOffset>
            </wp:positionV>
            <wp:extent cx="2463800" cy="1859280"/>
            <wp:effectExtent l="25400" t="0" r="0" b="0"/>
            <wp:wrapTight wrapText="bothSides">
              <wp:wrapPolygon edited="0">
                <wp:start x="-223" y="0"/>
                <wp:lineTo x="-223" y="21246"/>
                <wp:lineTo x="21600" y="21246"/>
                <wp:lineTo x="21600" y="0"/>
                <wp:lineTo x="-223" y="0"/>
              </wp:wrapPolygon>
            </wp:wrapTight>
            <wp:docPr id="5" name="" descr="imag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3"/>
                    <pic:cNvPicPr>
                      <a:picLocks noChangeAspect="1" noChangeArrowheads="1"/>
                    </pic:cNvPicPr>
                  </pic:nvPicPr>
                  <pic:blipFill>
                    <a:blip r:embed="rId51">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3800" cy="1859280"/>
                    </a:xfrm>
                    <a:prstGeom prst="rect">
                      <a:avLst/>
                    </a:prstGeom>
                    <a:noFill/>
                    <a:ln>
                      <a:noFill/>
                    </a:ln>
                  </pic:spPr>
                </pic:pic>
              </a:graphicData>
            </a:graphic>
          </wp:anchor>
        </w:drawing>
      </w:r>
      <w:r w:rsidR="003307A2" w:rsidRPr="003307A2">
        <w:rPr>
          <w:rFonts w:asciiTheme="minorHAnsi" w:hAnsiTheme="minorHAnsi" w:cs="Arial"/>
          <w:color w:val="3B3B3B"/>
          <w:kern w:val="36"/>
        </w:rPr>
        <w:t>La présence d’anticorps anti-lactalbumine est associée à l’augmentation de la fréquence du diabète auto-immun de type I chez l’enfant. Dans la cohorte </w:t>
      </w:r>
      <w:r w:rsidR="005D0038">
        <w:rPr>
          <w:rFonts w:asciiTheme="minorHAnsi" w:hAnsiTheme="minorHAnsi" w:cs="Arial"/>
          <w:color w:val="3B3B3B"/>
          <w:kern w:val="36"/>
        </w:rPr>
        <w:t xml:space="preserve">All Babies in Southeast Sweden </w:t>
      </w:r>
      <w:r w:rsidR="00C65086">
        <w:rPr>
          <w:rFonts w:asciiTheme="minorHAnsi" w:hAnsiTheme="minorHAnsi" w:cs="Arial"/>
          <w:color w:val="3B3B3B"/>
          <w:kern w:val="36"/>
        </w:rPr>
        <w:t>de 657 enfants : –</w:t>
      </w:r>
      <w:r w:rsidR="003307A2" w:rsidRPr="003307A2">
        <w:rPr>
          <w:rFonts w:asciiTheme="minorHAnsi" w:hAnsiTheme="minorHAnsi" w:cs="Arial"/>
          <w:color w:val="3B3B3B"/>
          <w:kern w:val="36"/>
        </w:rPr>
        <w:t>une durée d’allaitement de moins de 2 mois – un début précoce du biberon – une consommation élevée de produits laitiers à l’âge d’un an. Sont des facteurs de risque d’apparition d’auto-anticorps et de diabète de type 1.(8) Une étude cas-contrôle comprenant 760 enfants diagnostiqués avec un diabète de type 1 met en évidence que : – les enfants allaités moins de 5 mois par rapport à ceux qui le sont plus de 5 mois ont une augmentation du risque de 31% – les enfants qui ont été mis au biberon plus tôt présentent une augmentation du risque de 34%. (9)</w:t>
      </w:r>
    </w:p>
    <w:p w:rsidR="003307A2" w:rsidRPr="003307A2" w:rsidRDefault="003307A2" w:rsidP="008D6017">
      <w:pPr>
        <w:pStyle w:val="NormalWeb"/>
        <w:shd w:val="clear" w:color="auto" w:fill="FFFFFF"/>
        <w:spacing w:before="0" w:beforeAutospacing="0" w:after="240" w:afterAutospacing="0"/>
        <w:jc w:val="both"/>
        <w:rPr>
          <w:rFonts w:asciiTheme="minorHAnsi" w:hAnsiTheme="minorHAnsi" w:cs="Arial"/>
          <w:color w:val="3B3B3B"/>
          <w:kern w:val="36"/>
        </w:rPr>
      </w:pPr>
      <w:r w:rsidRPr="003307A2">
        <w:rPr>
          <w:rFonts w:asciiTheme="minorHAnsi" w:hAnsiTheme="minorHAnsi" w:cs="Arial"/>
          <w:color w:val="3B3B3B"/>
          <w:kern w:val="36"/>
        </w:rPr>
        <w:t>Une découverte récente</w:t>
      </w:r>
      <w:r w:rsidR="005D0038">
        <w:rPr>
          <w:rFonts w:asciiTheme="minorHAnsi" w:hAnsiTheme="minorHAnsi" w:cs="Arial"/>
          <w:color w:val="3B3B3B"/>
          <w:kern w:val="36"/>
        </w:rPr>
        <w:t> :</w:t>
      </w:r>
      <w:r w:rsidRPr="003307A2">
        <w:rPr>
          <w:rFonts w:asciiTheme="minorHAnsi" w:hAnsiTheme="minorHAnsi" w:cs="Arial"/>
          <w:color w:val="3B3B3B"/>
          <w:kern w:val="36"/>
        </w:rPr>
        <w:t xml:space="preserve"> le lait contient des micro ARN diabétogènes qui passent dans le sang.(5)</w:t>
      </w:r>
    </w:p>
    <w:p w:rsidR="003307A2" w:rsidRPr="003307A2" w:rsidRDefault="000F42D8" w:rsidP="008D6017">
      <w:pPr>
        <w:keepNext/>
        <w:spacing w:before="480" w:after="240"/>
        <w:jc w:val="both"/>
        <w:rPr>
          <w:rFonts w:eastAsiaTheme="majorEastAsia" w:cstheme="majorBidi"/>
          <w:b/>
          <w:bCs/>
          <w:caps/>
          <w:color w:val="2B9F97"/>
          <w:sz w:val="32"/>
          <w:szCs w:val="32"/>
        </w:rPr>
      </w:pPr>
      <w:r>
        <w:rPr>
          <w:rFonts w:eastAsiaTheme="majorEastAsia" w:cstheme="majorBidi"/>
          <w:b/>
          <w:bCs/>
          <w:caps/>
          <w:color w:val="2B9F97"/>
          <w:sz w:val="32"/>
          <w:szCs w:val="32"/>
        </w:rPr>
        <w:t xml:space="preserve">Produits laitiers et </w:t>
      </w:r>
      <w:r w:rsidR="003307A2" w:rsidRPr="003307A2">
        <w:rPr>
          <w:rFonts w:eastAsiaTheme="majorEastAsia" w:cstheme="majorBidi"/>
          <w:b/>
          <w:bCs/>
          <w:caps/>
          <w:color w:val="2B9F97"/>
          <w:sz w:val="32"/>
          <w:szCs w:val="32"/>
        </w:rPr>
        <w:t>surpoids</w:t>
      </w:r>
    </w:p>
    <w:p w:rsidR="003307A2" w:rsidRPr="003307A2" w:rsidRDefault="003307A2" w:rsidP="008D6017">
      <w:pPr>
        <w:pStyle w:val="NormalWeb"/>
        <w:shd w:val="clear" w:color="auto" w:fill="FFFFFF"/>
        <w:spacing w:before="0" w:beforeAutospacing="0" w:after="240" w:afterAutospacing="0"/>
        <w:jc w:val="both"/>
        <w:rPr>
          <w:rFonts w:asciiTheme="minorHAnsi" w:hAnsiTheme="minorHAnsi" w:cs="Arial"/>
          <w:color w:val="3B3B3B"/>
          <w:kern w:val="36"/>
        </w:rPr>
      </w:pPr>
      <w:r w:rsidRPr="003307A2">
        <w:rPr>
          <w:rFonts w:asciiTheme="minorHAnsi" w:hAnsiTheme="minorHAnsi" w:cs="Arial"/>
          <w:color w:val="3B3B3B"/>
          <w:kern w:val="36"/>
        </w:rPr>
        <w:t>Certains produits laitiers contenant du lactosérum tels que les yaourts et fromages frais ont la capacité de faire augmenter l’insuline (Index Insulinique)</w:t>
      </w:r>
    </w:p>
    <w:p w:rsidR="003307A2" w:rsidRDefault="003307A2" w:rsidP="008D6017">
      <w:pPr>
        <w:pStyle w:val="NormalWeb"/>
        <w:shd w:val="clear" w:color="auto" w:fill="FFFFFF"/>
        <w:spacing w:before="0" w:beforeAutospacing="0" w:after="240" w:afterAutospacing="0"/>
        <w:jc w:val="both"/>
        <w:rPr>
          <w:rFonts w:asciiTheme="minorHAnsi" w:hAnsiTheme="minorHAnsi" w:cs="Arial"/>
          <w:color w:val="3B3B3B"/>
          <w:kern w:val="36"/>
        </w:rPr>
      </w:pPr>
      <w:r w:rsidRPr="003307A2">
        <w:rPr>
          <w:rFonts w:asciiTheme="minorHAnsi" w:hAnsiTheme="minorHAnsi" w:cs="Arial"/>
          <w:color w:val="3B3B3B"/>
          <w:kern w:val="36"/>
        </w:rPr>
        <w:t>Une insu</w:t>
      </w:r>
      <w:r w:rsidR="005D0038">
        <w:rPr>
          <w:rFonts w:asciiTheme="minorHAnsi" w:hAnsiTheme="minorHAnsi" w:cs="Arial"/>
          <w:color w:val="3B3B3B"/>
          <w:kern w:val="36"/>
        </w:rPr>
        <w:t xml:space="preserve">line trop élevée favorise acné, </w:t>
      </w:r>
      <w:r w:rsidRPr="005D0038">
        <w:rPr>
          <w:rFonts w:asciiTheme="minorHAnsi" w:hAnsiTheme="minorHAnsi" w:cs="Arial"/>
          <w:b/>
          <w:color w:val="3B3B3B"/>
          <w:kern w:val="36"/>
        </w:rPr>
        <w:t>surpoids</w:t>
      </w:r>
      <w:r w:rsidRPr="003307A2">
        <w:rPr>
          <w:rFonts w:asciiTheme="minorHAnsi" w:hAnsiTheme="minorHAnsi" w:cs="Arial"/>
          <w:color w:val="3B3B3B"/>
          <w:kern w:val="36"/>
        </w:rPr>
        <w:t>, inflammation (et donc cancers, maladies cardiovasculaires,…) et diabète de type 2.</w:t>
      </w:r>
    </w:p>
    <w:p w:rsidR="00FD2AAE" w:rsidRPr="003307A2" w:rsidRDefault="00FD2AAE" w:rsidP="008D6017">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240" w:afterAutospacing="0"/>
        <w:jc w:val="both"/>
        <w:rPr>
          <w:rFonts w:asciiTheme="minorHAnsi" w:hAnsiTheme="minorHAnsi" w:cs="Arial"/>
          <w:color w:val="3B3B3B"/>
          <w:kern w:val="36"/>
        </w:rPr>
      </w:pPr>
      <w:r w:rsidRPr="003307A2">
        <w:rPr>
          <w:rFonts w:asciiTheme="minorHAnsi" w:hAnsiTheme="minorHAnsi" w:cs="Arial"/>
          <w:color w:val="3B3B3B"/>
          <w:kern w:val="36"/>
        </w:rPr>
        <w:t>Un yaourt a par exemple un IG de 62 mais un II de 115 (plus que le pain blanc et équivalent à une barre chocolatée !). Ajouter du lait, même en quantité normale (un petit verre de 200ml) à un aliment, augmente aussi l’index insulinique (et non glycémique) de l’aliment ingéré.</w:t>
      </w:r>
    </w:p>
    <w:p w:rsidR="003307A2" w:rsidRPr="003307A2" w:rsidRDefault="003307A2" w:rsidP="008D6017">
      <w:pPr>
        <w:keepNext/>
        <w:spacing w:before="480" w:after="240"/>
        <w:jc w:val="both"/>
        <w:rPr>
          <w:rFonts w:eastAsiaTheme="majorEastAsia" w:cstheme="majorBidi"/>
          <w:b/>
          <w:bCs/>
          <w:caps/>
          <w:color w:val="2B9F97"/>
          <w:sz w:val="32"/>
          <w:szCs w:val="32"/>
        </w:rPr>
      </w:pPr>
      <w:r w:rsidRPr="003307A2">
        <w:rPr>
          <w:rFonts w:eastAsiaTheme="majorEastAsia" w:cstheme="majorBidi"/>
          <w:b/>
          <w:bCs/>
          <w:caps/>
          <w:color w:val="2B9F97"/>
          <w:sz w:val="32"/>
          <w:szCs w:val="32"/>
        </w:rPr>
        <w:t>Produits laitiers et cancer de la prostate</w:t>
      </w:r>
    </w:p>
    <w:p w:rsidR="003307A2" w:rsidRPr="003307A2" w:rsidRDefault="008D6017" w:rsidP="008D6017">
      <w:pPr>
        <w:pStyle w:val="NormalWeb"/>
        <w:shd w:val="clear" w:color="auto" w:fill="FFFFFF"/>
        <w:spacing w:before="0" w:beforeAutospacing="0" w:after="240" w:afterAutospacing="0"/>
        <w:jc w:val="both"/>
        <w:rPr>
          <w:rFonts w:asciiTheme="minorHAnsi" w:hAnsiTheme="minorHAnsi" w:cs="Arial"/>
          <w:color w:val="3B3B3B"/>
          <w:kern w:val="36"/>
        </w:rPr>
      </w:pPr>
      <w:r>
        <w:rPr>
          <w:rFonts w:asciiTheme="minorHAnsi" w:hAnsiTheme="minorHAnsi" w:cs="Arial"/>
          <w:color w:val="3B3B3B"/>
          <w:kern w:val="36"/>
        </w:rPr>
        <w:t xml:space="preserve">              </w:t>
      </w:r>
      <w:r w:rsidR="003307A2" w:rsidRPr="003307A2">
        <w:rPr>
          <w:rFonts w:asciiTheme="minorHAnsi" w:hAnsiTheme="minorHAnsi" w:cs="Arial"/>
          <w:noProof/>
          <w:color w:val="3B3B3B"/>
          <w:kern w:val="36"/>
          <w:lang w:val="fr-FR" w:eastAsia="fr-FR"/>
        </w:rPr>
        <w:drawing>
          <wp:inline distT="0" distB="0" distL="0" distR="0">
            <wp:extent cx="2617470" cy="1739265"/>
            <wp:effectExtent l="0" t="0" r="0" b="0"/>
            <wp:docPr id="4" name="Image 4"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
                    <pic:cNvPicPr>
                      <a:picLocks noChangeAspect="1" noChangeArrowheads="1"/>
                    </pic:cNvPicPr>
                  </pic:nvPicPr>
                  <pic:blipFill>
                    <a:blip r:embed="rId52">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7470" cy="1739265"/>
                    </a:xfrm>
                    <a:prstGeom prst="rect">
                      <a:avLst/>
                    </a:prstGeom>
                    <a:noFill/>
                    <a:ln>
                      <a:noFill/>
                    </a:ln>
                  </pic:spPr>
                </pic:pic>
              </a:graphicData>
            </a:graphic>
          </wp:inline>
        </w:drawing>
      </w:r>
    </w:p>
    <w:p w:rsidR="003307A2" w:rsidRPr="003307A2" w:rsidRDefault="003307A2" w:rsidP="008D6017">
      <w:pPr>
        <w:pStyle w:val="NormalWeb"/>
        <w:numPr>
          <w:ilvl w:val="0"/>
          <w:numId w:val="14"/>
        </w:numPr>
        <w:shd w:val="clear" w:color="auto" w:fill="FFFFFF"/>
        <w:spacing w:before="0" w:beforeAutospacing="0" w:after="240" w:afterAutospacing="0"/>
        <w:jc w:val="both"/>
        <w:rPr>
          <w:rFonts w:asciiTheme="minorHAnsi" w:hAnsiTheme="minorHAnsi" w:cs="Arial"/>
          <w:color w:val="3B3B3B"/>
          <w:kern w:val="36"/>
        </w:rPr>
      </w:pPr>
      <w:r w:rsidRPr="003307A2">
        <w:rPr>
          <w:rFonts w:asciiTheme="minorHAnsi" w:hAnsiTheme="minorHAnsi" w:cs="Arial"/>
          <w:color w:val="3B3B3B"/>
          <w:kern w:val="36"/>
        </w:rPr>
        <w:t>Les laitages augmentent le niveau de facteurs de croissance (IGF-1), tous composés soupçonnés de jouer un rôle important dans la cancérogénèse. Une méta-analyse sur 18 études montre que la consommation de produits laitiers élève le taux circulant du facteur de croissance tumoral IGF-1. (6)</w:t>
      </w:r>
    </w:p>
    <w:p w:rsidR="003307A2" w:rsidRPr="003307A2" w:rsidRDefault="003307A2" w:rsidP="008D6017">
      <w:pPr>
        <w:pStyle w:val="NormalWeb"/>
        <w:numPr>
          <w:ilvl w:val="0"/>
          <w:numId w:val="14"/>
        </w:numPr>
        <w:shd w:val="clear" w:color="auto" w:fill="FFFFFF"/>
        <w:spacing w:before="0" w:beforeAutospacing="0" w:after="240" w:afterAutospacing="0"/>
        <w:jc w:val="both"/>
        <w:rPr>
          <w:rFonts w:asciiTheme="minorHAnsi" w:hAnsiTheme="minorHAnsi" w:cs="Arial"/>
          <w:color w:val="3B3B3B"/>
          <w:kern w:val="36"/>
        </w:rPr>
      </w:pPr>
      <w:r w:rsidRPr="003307A2">
        <w:rPr>
          <w:rFonts w:asciiTheme="minorHAnsi" w:hAnsiTheme="minorHAnsi" w:cs="Arial"/>
          <w:color w:val="3B3B3B"/>
          <w:kern w:val="36"/>
        </w:rPr>
        <w:t>Les laitages apportent des hormones et des facteurs de croissance ce qui expliquerait que les cancers qui leur sont associés (le cancer de la prostate) soient plus agressifs. Un des mécanismes par lequel la consommation de produits laitiers est un facteur majeur d’augmentation des risques de cancer de la prostate est la stimulation de mTOR.(7)(18)</w:t>
      </w:r>
    </w:p>
    <w:p w:rsidR="003307A2" w:rsidRPr="003307A2" w:rsidRDefault="003307A2" w:rsidP="008D6017">
      <w:pPr>
        <w:pStyle w:val="NormalWeb"/>
        <w:numPr>
          <w:ilvl w:val="0"/>
          <w:numId w:val="14"/>
        </w:numPr>
        <w:shd w:val="clear" w:color="auto" w:fill="FFFFFF"/>
        <w:spacing w:before="0" w:beforeAutospacing="0" w:after="240" w:afterAutospacing="0"/>
        <w:jc w:val="both"/>
        <w:rPr>
          <w:rFonts w:asciiTheme="minorHAnsi" w:hAnsiTheme="minorHAnsi" w:cs="Arial"/>
          <w:color w:val="3B3B3B"/>
          <w:kern w:val="36"/>
        </w:rPr>
      </w:pPr>
      <w:r w:rsidRPr="003307A2">
        <w:rPr>
          <w:rFonts w:asciiTheme="minorHAnsi" w:hAnsiTheme="minorHAnsi" w:cs="Arial"/>
          <w:color w:val="3B3B3B"/>
          <w:kern w:val="36"/>
        </w:rPr>
        <w:t>Depuis la fin de la deuxième guerre mondiale, l’occidentalisation de l’alimentation japonaise a entraîné une multiplication par 20 de la consommation de produits laitiers – par 9 de viande</w:t>
      </w:r>
      <w:r w:rsidR="00FD2AAE">
        <w:rPr>
          <w:rFonts w:asciiTheme="minorHAnsi" w:hAnsiTheme="minorHAnsi" w:cs="Arial"/>
          <w:color w:val="3B3B3B"/>
          <w:kern w:val="36"/>
        </w:rPr>
        <w:t xml:space="preserve"> – par 7 d’œufs. La mortalité du</w:t>
      </w:r>
      <w:r w:rsidRPr="003307A2">
        <w:rPr>
          <w:rFonts w:asciiTheme="minorHAnsi" w:hAnsiTheme="minorHAnsi" w:cs="Arial"/>
          <w:color w:val="3B3B3B"/>
          <w:kern w:val="36"/>
        </w:rPr>
        <w:t>e au cancer de la prostate a été dans la même période multipliée par 25.(10)</w:t>
      </w:r>
    </w:p>
    <w:p w:rsidR="003307A2" w:rsidRPr="003307A2" w:rsidRDefault="003307A2" w:rsidP="008D6017">
      <w:pPr>
        <w:pStyle w:val="NormalWeb"/>
        <w:numPr>
          <w:ilvl w:val="0"/>
          <w:numId w:val="14"/>
        </w:numPr>
        <w:shd w:val="clear" w:color="auto" w:fill="FFFFFF"/>
        <w:spacing w:before="0" w:beforeAutospacing="0" w:after="240" w:afterAutospacing="0"/>
        <w:jc w:val="both"/>
        <w:rPr>
          <w:rFonts w:asciiTheme="minorHAnsi" w:hAnsiTheme="minorHAnsi" w:cs="Arial"/>
          <w:color w:val="3B3B3B"/>
          <w:kern w:val="36"/>
        </w:rPr>
      </w:pPr>
      <w:r w:rsidRPr="003307A2">
        <w:rPr>
          <w:rFonts w:asciiTheme="minorHAnsi" w:hAnsiTheme="minorHAnsi" w:cs="Arial"/>
          <w:color w:val="3B3B3B"/>
          <w:kern w:val="36"/>
        </w:rPr>
        <w:t>L’</w:t>
      </w:r>
      <w:r w:rsidR="004777EF">
        <w:rPr>
          <w:rFonts w:asciiTheme="minorHAnsi" w:hAnsiTheme="minorHAnsi" w:cs="Arial"/>
          <w:color w:val="3B3B3B"/>
          <w:kern w:val="36"/>
        </w:rPr>
        <w:t xml:space="preserve">étude de 142 251 hommes dans la </w:t>
      </w:r>
      <w:r w:rsidRPr="003307A2">
        <w:rPr>
          <w:rFonts w:asciiTheme="minorHAnsi" w:hAnsiTheme="minorHAnsi" w:cs="Arial"/>
          <w:color w:val="3B3B3B"/>
          <w:kern w:val="36"/>
        </w:rPr>
        <w:t>Eur</w:t>
      </w:r>
      <w:r w:rsidR="004777EF">
        <w:rPr>
          <w:rFonts w:asciiTheme="minorHAnsi" w:hAnsiTheme="minorHAnsi" w:cs="Arial"/>
          <w:color w:val="3B3B3B"/>
          <w:kern w:val="36"/>
        </w:rPr>
        <w:t xml:space="preserve">opean Prospective Investigation </w:t>
      </w:r>
      <w:r w:rsidRPr="003307A2">
        <w:rPr>
          <w:rFonts w:asciiTheme="minorHAnsi" w:hAnsiTheme="minorHAnsi" w:cs="Arial"/>
          <w:color w:val="3B3B3B"/>
          <w:kern w:val="36"/>
        </w:rPr>
        <w:t>into Cancer and Nutrition (EPIC) observe après 8,7 années de suivi 2727 cas de cancers de la prostate, dont 1131 localisés and 541 avancés. Pour chaque 35 g de produits laitiers consommés par jour en plus le risque de cancer de la prostate augmente de 32%. On ne note aucune corrélation avec le calcium d’autres sources que laitières.(11)</w:t>
      </w:r>
    </w:p>
    <w:p w:rsidR="008D6017" w:rsidRDefault="003307A2" w:rsidP="008D6017">
      <w:pPr>
        <w:pStyle w:val="NormalWeb"/>
        <w:numPr>
          <w:ilvl w:val="0"/>
          <w:numId w:val="14"/>
        </w:numPr>
        <w:shd w:val="clear" w:color="auto" w:fill="FFFFFF"/>
        <w:spacing w:before="0" w:beforeAutospacing="0" w:after="240" w:afterAutospacing="0"/>
        <w:jc w:val="both"/>
        <w:rPr>
          <w:rFonts w:asciiTheme="minorHAnsi" w:hAnsiTheme="minorHAnsi" w:cs="Arial"/>
          <w:color w:val="3B3B3B"/>
          <w:kern w:val="36"/>
        </w:rPr>
      </w:pPr>
      <w:r w:rsidRPr="003307A2">
        <w:rPr>
          <w:rFonts w:asciiTheme="minorHAnsi" w:hAnsiTheme="minorHAnsi" w:cs="Arial"/>
          <w:color w:val="3B3B3B"/>
          <w:kern w:val="36"/>
        </w:rPr>
        <w:t>La méta-analyse la plus récente inclut 32 études et confirme l’augmentation des risques de cancer de la prostate avec la consommation augmentée de tous types de produits laitiers, mais pas avec le calcium non laitier.(12)</w:t>
      </w:r>
    </w:p>
    <w:p w:rsidR="00435AA0" w:rsidRDefault="00435AA0" w:rsidP="008D6017">
      <w:pPr>
        <w:pStyle w:val="NormalWeb"/>
        <w:shd w:val="clear" w:color="auto" w:fill="FFFFFF"/>
        <w:spacing w:before="0" w:beforeAutospacing="0" w:after="240" w:afterAutospacing="0"/>
        <w:jc w:val="both"/>
        <w:rPr>
          <w:rFonts w:asciiTheme="minorHAnsi" w:hAnsiTheme="minorHAnsi" w:cs="Arial"/>
          <w:color w:val="3B3B3B"/>
          <w:kern w:val="36"/>
        </w:rPr>
      </w:pPr>
    </w:p>
    <w:p w:rsidR="00435AA0" w:rsidRDefault="00435AA0" w:rsidP="008D6017">
      <w:pPr>
        <w:pStyle w:val="NormalWeb"/>
        <w:shd w:val="clear" w:color="auto" w:fill="FFFFFF"/>
        <w:spacing w:before="0" w:beforeAutospacing="0" w:after="240" w:afterAutospacing="0"/>
        <w:jc w:val="both"/>
        <w:rPr>
          <w:rFonts w:asciiTheme="minorHAnsi" w:hAnsiTheme="minorHAnsi" w:cs="Arial"/>
          <w:color w:val="3B3B3B"/>
          <w:kern w:val="36"/>
        </w:rPr>
      </w:pPr>
    </w:p>
    <w:p w:rsidR="008D6017" w:rsidRDefault="008D6017" w:rsidP="008D6017">
      <w:pPr>
        <w:pStyle w:val="NormalWeb"/>
        <w:shd w:val="clear" w:color="auto" w:fill="FFFFFF"/>
        <w:spacing w:before="0" w:beforeAutospacing="0" w:after="240" w:afterAutospacing="0"/>
        <w:jc w:val="both"/>
        <w:rPr>
          <w:rFonts w:asciiTheme="minorHAnsi" w:hAnsiTheme="minorHAnsi" w:cs="Arial"/>
          <w:color w:val="3B3B3B"/>
          <w:kern w:val="36"/>
        </w:rPr>
      </w:pPr>
    </w:p>
    <w:p w:rsidR="008D6017" w:rsidRDefault="008D6017" w:rsidP="008D6017">
      <w:pPr>
        <w:pStyle w:val="NormalWeb"/>
        <w:shd w:val="clear" w:color="auto" w:fill="FFFFFF"/>
        <w:spacing w:before="0" w:beforeAutospacing="0" w:after="240" w:afterAutospacing="0"/>
        <w:jc w:val="both"/>
        <w:rPr>
          <w:rFonts w:asciiTheme="minorHAnsi" w:hAnsiTheme="minorHAnsi" w:cs="Arial"/>
          <w:color w:val="3B3B3B"/>
          <w:kern w:val="36"/>
        </w:rPr>
      </w:pPr>
    </w:p>
    <w:p w:rsidR="003307A2" w:rsidRPr="003307A2" w:rsidRDefault="003307A2" w:rsidP="008D6017">
      <w:pPr>
        <w:pStyle w:val="NormalWeb"/>
        <w:shd w:val="clear" w:color="auto" w:fill="FFFFFF"/>
        <w:spacing w:before="0" w:beforeAutospacing="0" w:after="240" w:afterAutospacing="0"/>
        <w:jc w:val="both"/>
        <w:rPr>
          <w:rFonts w:asciiTheme="minorHAnsi" w:hAnsiTheme="minorHAnsi" w:cs="Arial"/>
          <w:color w:val="3B3B3B"/>
          <w:kern w:val="36"/>
        </w:rPr>
      </w:pPr>
    </w:p>
    <w:p w:rsidR="003307A2" w:rsidRPr="003307A2" w:rsidRDefault="000F42D8" w:rsidP="008D6017">
      <w:pPr>
        <w:keepNext/>
        <w:spacing w:before="480" w:after="240"/>
        <w:jc w:val="both"/>
        <w:rPr>
          <w:rFonts w:eastAsiaTheme="majorEastAsia" w:cstheme="majorBidi"/>
          <w:b/>
          <w:bCs/>
          <w:caps/>
          <w:color w:val="2B9F97"/>
          <w:sz w:val="32"/>
          <w:szCs w:val="32"/>
        </w:rPr>
      </w:pPr>
      <w:r>
        <w:rPr>
          <w:rFonts w:eastAsiaTheme="majorEastAsia" w:cstheme="majorBidi"/>
          <w:b/>
          <w:bCs/>
          <w:caps/>
          <w:color w:val="2B9F97"/>
          <w:sz w:val="32"/>
          <w:szCs w:val="32"/>
        </w:rPr>
        <w:t xml:space="preserve">Produits laitiers et cancer </w:t>
      </w:r>
      <w:r w:rsidR="003307A2" w:rsidRPr="003307A2">
        <w:rPr>
          <w:rFonts w:eastAsiaTheme="majorEastAsia" w:cstheme="majorBidi"/>
          <w:b/>
          <w:bCs/>
          <w:caps/>
          <w:color w:val="2B9F97"/>
          <w:sz w:val="32"/>
          <w:szCs w:val="32"/>
        </w:rPr>
        <w:t>du sein</w:t>
      </w:r>
    </w:p>
    <w:p w:rsidR="003307A2" w:rsidRPr="003307A2" w:rsidRDefault="00630EC2" w:rsidP="008D6017">
      <w:pPr>
        <w:pStyle w:val="NormalWeb"/>
        <w:shd w:val="clear" w:color="auto" w:fill="FFFFFF"/>
        <w:spacing w:before="0" w:beforeAutospacing="0" w:after="240" w:afterAutospacing="0"/>
        <w:jc w:val="both"/>
        <w:rPr>
          <w:rFonts w:asciiTheme="minorHAnsi" w:hAnsiTheme="minorHAnsi" w:cs="Arial"/>
          <w:color w:val="3B3B3B"/>
          <w:kern w:val="36"/>
        </w:rPr>
      </w:pPr>
      <w:r>
        <w:rPr>
          <w:rFonts w:asciiTheme="minorHAnsi" w:hAnsiTheme="minorHAnsi" w:cs="Arial"/>
          <w:noProof/>
          <w:color w:val="3B3B3B"/>
          <w:kern w:val="36"/>
          <w:lang w:val="fr-FR" w:eastAsia="fr-FR"/>
        </w:rPr>
        <w:drawing>
          <wp:anchor distT="0" distB="0" distL="114300" distR="114300" simplePos="0" relativeHeight="251662336" behindDoc="0" locked="0" layoutInCell="1" allowOverlap="1">
            <wp:simplePos x="0" y="0"/>
            <wp:positionH relativeFrom="column">
              <wp:posOffset>4445</wp:posOffset>
            </wp:positionH>
            <wp:positionV relativeFrom="paragraph">
              <wp:posOffset>63500</wp:posOffset>
            </wp:positionV>
            <wp:extent cx="2362200" cy="1564640"/>
            <wp:effectExtent l="25400" t="0" r="0" b="0"/>
            <wp:wrapTight wrapText="bothSides">
              <wp:wrapPolygon edited="0">
                <wp:start x="-232" y="0"/>
                <wp:lineTo x="-232" y="21390"/>
                <wp:lineTo x="21600" y="21390"/>
                <wp:lineTo x="21600" y="0"/>
                <wp:lineTo x="-232" y="0"/>
              </wp:wrapPolygon>
            </wp:wrapTight>
            <wp:docPr id="3" name="" descr="43486_cancer_du_sein_sagabardon_Flickr_CC_by_nc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3486_cancer_du_sein_sagabardon_Flickr_CC_by_nc_20"/>
                    <pic:cNvPicPr>
                      <a:picLocks noChangeAspect="1" noChangeArrowheads="1"/>
                    </pic:cNvPicPr>
                  </pic:nvPicPr>
                  <pic:blipFill>
                    <a:blip r:embed="rId53">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2200" cy="1564640"/>
                    </a:xfrm>
                    <a:prstGeom prst="rect">
                      <a:avLst/>
                    </a:prstGeom>
                    <a:noFill/>
                    <a:ln>
                      <a:noFill/>
                    </a:ln>
                  </pic:spPr>
                </pic:pic>
              </a:graphicData>
            </a:graphic>
          </wp:anchor>
        </w:drawing>
      </w:r>
      <w:r w:rsidR="003307A2" w:rsidRPr="003307A2">
        <w:rPr>
          <w:rFonts w:asciiTheme="minorHAnsi" w:hAnsiTheme="minorHAnsi" w:cs="Arial"/>
          <w:color w:val="3B3B3B"/>
          <w:kern w:val="36"/>
        </w:rPr>
        <w:t>Dans une étude américaine sur 1893 femmes diagnostiquées à un stade précoce de cancer invasif  et suivies sur une durée moyenne de 11,8 ans 349 femmes ont connu une récidive et 189 sont décédées du fait du cancer du sein. Celles qui ont consommé une demi-portion à moins d’une portion par jour de produit laitier entier ont présenté un risque plus élevé de 20% de mortalité par cancer du sein. Ce risque est augmenté de près de 49% lorsque les femmes ont consommé une portion par jour ou plus. (13)</w:t>
      </w:r>
    </w:p>
    <w:p w:rsidR="003307A2" w:rsidRPr="003307A2" w:rsidRDefault="003307A2" w:rsidP="008D6017">
      <w:pPr>
        <w:pStyle w:val="NormalWeb"/>
        <w:shd w:val="clear" w:color="auto" w:fill="FFFFFF"/>
        <w:spacing w:before="0" w:beforeAutospacing="0" w:after="240" w:afterAutospacing="0"/>
        <w:jc w:val="both"/>
        <w:rPr>
          <w:rFonts w:asciiTheme="minorHAnsi" w:hAnsiTheme="minorHAnsi" w:cs="Arial"/>
          <w:color w:val="3B3B3B"/>
          <w:kern w:val="36"/>
        </w:rPr>
      </w:pPr>
      <w:r w:rsidRPr="003307A2">
        <w:rPr>
          <w:rFonts w:asciiTheme="minorHAnsi" w:hAnsiTheme="minorHAnsi" w:cs="Arial"/>
          <w:color w:val="3B3B3B"/>
          <w:kern w:val="36"/>
        </w:rPr>
        <w:t>Les quantités d’</w:t>
      </w:r>
      <w:r w:rsidR="004777EF" w:rsidRPr="003307A2">
        <w:rPr>
          <w:rFonts w:asciiTheme="minorHAnsi" w:hAnsiTheme="minorHAnsi" w:cs="Arial"/>
          <w:color w:val="3B3B3B"/>
          <w:kern w:val="36"/>
        </w:rPr>
        <w:t>œstrogènes</w:t>
      </w:r>
      <w:r w:rsidRPr="003307A2">
        <w:rPr>
          <w:rFonts w:asciiTheme="minorHAnsi" w:hAnsiTheme="minorHAnsi" w:cs="Arial"/>
          <w:color w:val="3B3B3B"/>
          <w:kern w:val="36"/>
        </w:rPr>
        <w:t xml:space="preserve"> dans les produits laitiers peuvent être élevées (19)</w:t>
      </w:r>
    </w:p>
    <w:p w:rsidR="003307A2" w:rsidRPr="003307A2" w:rsidRDefault="003307A2" w:rsidP="008D6017">
      <w:pPr>
        <w:keepNext/>
        <w:spacing w:before="480" w:after="240"/>
        <w:jc w:val="both"/>
        <w:rPr>
          <w:rFonts w:eastAsiaTheme="majorEastAsia" w:cstheme="majorBidi"/>
          <w:b/>
          <w:bCs/>
          <w:caps/>
          <w:color w:val="2B9F97"/>
          <w:sz w:val="32"/>
          <w:szCs w:val="32"/>
        </w:rPr>
      </w:pPr>
      <w:r w:rsidRPr="003307A2">
        <w:rPr>
          <w:rFonts w:eastAsiaTheme="majorEastAsia" w:cstheme="majorBidi"/>
          <w:b/>
          <w:bCs/>
          <w:caps/>
          <w:color w:val="2B9F97"/>
          <w:sz w:val="32"/>
          <w:szCs w:val="32"/>
        </w:rPr>
        <w:t>Produits laitiers, inflammation, frac</w:t>
      </w:r>
      <w:r w:rsidR="005D0038">
        <w:rPr>
          <w:rFonts w:eastAsiaTheme="majorEastAsia" w:cstheme="majorBidi"/>
          <w:b/>
          <w:bCs/>
          <w:caps/>
          <w:color w:val="2B9F97"/>
          <w:sz w:val="32"/>
          <w:szCs w:val="32"/>
        </w:rPr>
        <w:t xml:space="preserve">ture du col, </w:t>
      </w:r>
      <w:r w:rsidRPr="003307A2">
        <w:rPr>
          <w:rFonts w:eastAsiaTheme="majorEastAsia" w:cstheme="majorBidi"/>
          <w:b/>
          <w:bCs/>
          <w:caps/>
          <w:color w:val="2B9F97"/>
          <w:sz w:val="32"/>
          <w:szCs w:val="32"/>
        </w:rPr>
        <w:t>ostéoporose</w:t>
      </w:r>
    </w:p>
    <w:p w:rsidR="003307A2" w:rsidRPr="003307A2" w:rsidRDefault="003307A2" w:rsidP="008D6017">
      <w:pPr>
        <w:pStyle w:val="NormalWeb"/>
        <w:numPr>
          <w:ilvl w:val="0"/>
          <w:numId w:val="15"/>
        </w:numPr>
        <w:shd w:val="clear" w:color="auto" w:fill="FFFFFF"/>
        <w:spacing w:before="0" w:beforeAutospacing="0" w:after="240" w:afterAutospacing="0"/>
        <w:jc w:val="both"/>
        <w:rPr>
          <w:rFonts w:asciiTheme="minorHAnsi" w:hAnsiTheme="minorHAnsi" w:cs="Arial"/>
          <w:color w:val="3B3B3B"/>
          <w:kern w:val="36"/>
        </w:rPr>
      </w:pPr>
      <w:r w:rsidRPr="003307A2">
        <w:rPr>
          <w:rFonts w:asciiTheme="minorHAnsi" w:hAnsiTheme="minorHAnsi" w:cs="Arial"/>
          <w:color w:val="3B3B3B"/>
          <w:kern w:val="36"/>
        </w:rPr>
        <w:t>Certains produits laitiers comme les fromages bloquent l’absorption du calcium du fait de la formation de savons insolubles entre le calcium et les acides gras saturés.</w:t>
      </w:r>
    </w:p>
    <w:p w:rsidR="003307A2" w:rsidRPr="003307A2" w:rsidRDefault="003307A2" w:rsidP="008D6017">
      <w:pPr>
        <w:pStyle w:val="NormalWeb"/>
        <w:numPr>
          <w:ilvl w:val="0"/>
          <w:numId w:val="15"/>
        </w:numPr>
        <w:shd w:val="clear" w:color="auto" w:fill="FFFFFF"/>
        <w:spacing w:before="0" w:beforeAutospacing="0" w:after="240" w:afterAutospacing="0"/>
        <w:jc w:val="both"/>
        <w:rPr>
          <w:rFonts w:asciiTheme="minorHAnsi" w:hAnsiTheme="minorHAnsi" w:cs="Arial"/>
          <w:color w:val="3B3B3B"/>
          <w:kern w:val="36"/>
        </w:rPr>
      </w:pPr>
      <w:r w:rsidRPr="003307A2">
        <w:rPr>
          <w:rFonts w:asciiTheme="minorHAnsi" w:hAnsiTheme="minorHAnsi" w:cs="Arial"/>
          <w:color w:val="3B3B3B"/>
          <w:kern w:val="36"/>
        </w:rPr>
        <w:t>Le lait de vache contient plus de 6X plus de phosphore que le lait humain. Or, le phosphore entraîne une précipitation des sels calciques dans l’intestin et inhibe leur absorption.</w:t>
      </w:r>
    </w:p>
    <w:p w:rsidR="00435AA0" w:rsidRDefault="003307A2" w:rsidP="008D6017">
      <w:pPr>
        <w:pStyle w:val="NormalWeb"/>
        <w:numPr>
          <w:ilvl w:val="0"/>
          <w:numId w:val="15"/>
        </w:numPr>
        <w:shd w:val="clear" w:color="auto" w:fill="FFFFFF"/>
        <w:spacing w:before="0" w:beforeAutospacing="0" w:after="240" w:afterAutospacing="0"/>
        <w:jc w:val="both"/>
        <w:rPr>
          <w:rFonts w:asciiTheme="minorHAnsi" w:hAnsiTheme="minorHAnsi" w:cs="Arial"/>
          <w:color w:val="3B3B3B"/>
          <w:kern w:val="36"/>
        </w:rPr>
      </w:pPr>
      <w:r w:rsidRPr="00435AA0">
        <w:rPr>
          <w:rFonts w:asciiTheme="minorHAnsi" w:hAnsiTheme="minorHAnsi" w:cs="Arial"/>
          <w:color w:val="3B3B3B"/>
          <w:kern w:val="36"/>
        </w:rPr>
        <w:t>La Suède détient le record mondial de consommation de lait et produits laitiers. Elle détient aussi le record mondial des fractures du col de fémur chez les femmes de plus de 50 ans, un des paradoxes rapportés par Thierry Souccar, directeur de LaNutrition.fr dès 2004 dans Santé, mensonges et propagande, et développés dans </w:t>
      </w:r>
      <w:r w:rsidR="00C65086" w:rsidRPr="00435AA0">
        <w:rPr>
          <w:rFonts w:asciiTheme="minorHAnsi" w:hAnsiTheme="minorHAnsi" w:cs="Arial"/>
          <w:color w:val="3B3B3B"/>
          <w:kern w:val="36"/>
        </w:rPr>
        <w:t>« </w:t>
      </w:r>
      <w:r w:rsidRPr="00435AA0">
        <w:rPr>
          <w:rFonts w:asciiTheme="minorHAnsi" w:hAnsiTheme="minorHAnsi" w:cs="Arial"/>
          <w:color w:val="3B3B3B"/>
          <w:kern w:val="36"/>
        </w:rPr>
        <w:t>Lait, mensonges et Propagande</w:t>
      </w:r>
      <w:r w:rsidR="00C65086" w:rsidRPr="00435AA0">
        <w:rPr>
          <w:rFonts w:asciiTheme="minorHAnsi" w:hAnsiTheme="minorHAnsi" w:cs="Arial"/>
          <w:color w:val="3B3B3B"/>
          <w:kern w:val="36"/>
        </w:rPr>
        <w:t> »</w:t>
      </w:r>
      <w:r w:rsidR="00435AA0">
        <w:rPr>
          <w:rFonts w:asciiTheme="minorHAnsi" w:hAnsiTheme="minorHAnsi" w:cs="Arial"/>
          <w:color w:val="3B3B3B"/>
          <w:kern w:val="36"/>
        </w:rPr>
        <w:t>.</w:t>
      </w:r>
    </w:p>
    <w:p w:rsidR="003307A2" w:rsidRPr="00435AA0" w:rsidRDefault="003307A2" w:rsidP="008D6017">
      <w:pPr>
        <w:pStyle w:val="NormalWeb"/>
        <w:numPr>
          <w:ilvl w:val="0"/>
          <w:numId w:val="15"/>
        </w:numPr>
        <w:shd w:val="clear" w:color="auto" w:fill="FFFFFF"/>
        <w:spacing w:before="0" w:beforeAutospacing="0" w:after="240" w:afterAutospacing="0"/>
        <w:jc w:val="both"/>
        <w:rPr>
          <w:rFonts w:asciiTheme="minorHAnsi" w:hAnsiTheme="minorHAnsi" w:cs="Arial"/>
          <w:color w:val="3B3B3B"/>
          <w:kern w:val="36"/>
        </w:rPr>
      </w:pPr>
      <w:r w:rsidRPr="00435AA0">
        <w:rPr>
          <w:rFonts w:asciiTheme="minorHAnsi" w:hAnsiTheme="minorHAnsi" w:cs="Arial"/>
          <w:color w:val="3B3B3B"/>
          <w:kern w:val="36"/>
        </w:rPr>
        <w:t>Dans toute l’Asie, on boit moins de lait de vache et il y a moins d’ostéoporose !!! Pour avoir de bons os, le mieux c’est l’exercice physique suivi d’un apport journalier de calcium ASSIMILABLE, vit D, vit K, Mg, …</w:t>
      </w:r>
    </w:p>
    <w:p w:rsidR="003307A2" w:rsidRPr="003307A2" w:rsidRDefault="003307A2" w:rsidP="008D6017">
      <w:pPr>
        <w:pStyle w:val="NormalWeb"/>
        <w:numPr>
          <w:ilvl w:val="0"/>
          <w:numId w:val="15"/>
        </w:numPr>
        <w:shd w:val="clear" w:color="auto" w:fill="FFFFFF"/>
        <w:spacing w:before="0" w:beforeAutospacing="0" w:after="240" w:afterAutospacing="0"/>
        <w:jc w:val="both"/>
        <w:rPr>
          <w:rFonts w:asciiTheme="minorHAnsi" w:hAnsiTheme="minorHAnsi" w:cs="Arial"/>
          <w:color w:val="3B3B3B"/>
          <w:kern w:val="36"/>
        </w:rPr>
      </w:pPr>
      <w:r w:rsidRPr="003307A2">
        <w:rPr>
          <w:rFonts w:asciiTheme="minorHAnsi" w:hAnsiTheme="minorHAnsi" w:cs="Arial"/>
          <w:color w:val="3B3B3B"/>
          <w:kern w:val="36"/>
        </w:rPr>
        <w:t>Il n’y a aucune preuve pour soutenir que le lait animal est la meilleure source de calcium. L’assimilation du calcium laitier par notre organisme atteint un taux record de 30 à 35 %. L’assimilation du calcium végétal est nettement supérieure, le double, pouvant atteindre 70% pour les végétaux fortement consommés frais ou cuits à la vapeur. On peut parfaitement consommer du calcium sans trop de produits laitiers avec des sardines, des amandes, du persil frais, des olives vertes, lait de soja enrichi en calcium, eau minérale, algues, crevettes, noix, no</w:t>
      </w:r>
      <w:r w:rsidR="00C65086">
        <w:rPr>
          <w:rFonts w:asciiTheme="minorHAnsi" w:hAnsiTheme="minorHAnsi" w:cs="Arial"/>
          <w:color w:val="3B3B3B"/>
          <w:kern w:val="36"/>
        </w:rPr>
        <w:t>isettes, figues sèches</w:t>
      </w:r>
      <w:r w:rsidRPr="003307A2">
        <w:rPr>
          <w:rFonts w:asciiTheme="minorHAnsi" w:hAnsiTheme="minorHAnsi" w:cs="Arial"/>
          <w:color w:val="3B3B3B"/>
          <w:kern w:val="36"/>
        </w:rPr>
        <w:t>.</w:t>
      </w:r>
    </w:p>
    <w:p w:rsidR="003307A2" w:rsidRPr="003307A2" w:rsidRDefault="003307A2" w:rsidP="008D6017">
      <w:pPr>
        <w:pStyle w:val="NormalWeb"/>
        <w:numPr>
          <w:ilvl w:val="0"/>
          <w:numId w:val="15"/>
        </w:numPr>
        <w:shd w:val="clear" w:color="auto" w:fill="FFFFFF"/>
        <w:spacing w:before="0" w:beforeAutospacing="0" w:after="240" w:afterAutospacing="0"/>
        <w:jc w:val="both"/>
        <w:rPr>
          <w:rFonts w:asciiTheme="minorHAnsi" w:hAnsiTheme="minorHAnsi" w:cs="Arial"/>
          <w:color w:val="3B3B3B"/>
          <w:kern w:val="36"/>
        </w:rPr>
      </w:pPr>
      <w:r w:rsidRPr="003307A2">
        <w:rPr>
          <w:rFonts w:asciiTheme="minorHAnsi" w:hAnsiTheme="minorHAnsi" w:cs="Arial"/>
          <w:color w:val="3B3B3B"/>
          <w:kern w:val="36"/>
        </w:rPr>
        <w:t>Dans la revue mondiale de référence en nutrition, American Journal of Clinical Nutrition, Hegsted conteste, dès 2001, l’évidence scientifique de la réduction des fractures par des apports élevés en calcium et rappelle que l’ostéoporose est une pathologie des pays occidentaux et que les pays qui ont les fréquences les plus basses d’ostéoporose ont des apports et en produits laitiers et en calcium faibles. (16)</w:t>
      </w:r>
    </w:p>
    <w:p w:rsidR="00F27DD1" w:rsidRDefault="003307A2" w:rsidP="008D6017">
      <w:pPr>
        <w:pStyle w:val="NormalWeb"/>
        <w:shd w:val="clear" w:color="auto" w:fill="FFFFFF"/>
        <w:spacing w:before="0" w:beforeAutospacing="0" w:after="240" w:afterAutospacing="0"/>
        <w:jc w:val="both"/>
        <w:rPr>
          <w:rFonts w:asciiTheme="minorHAnsi" w:hAnsiTheme="minorHAnsi" w:cs="Arial"/>
          <w:color w:val="3B3B3B"/>
          <w:kern w:val="36"/>
        </w:rPr>
      </w:pPr>
      <w:r w:rsidRPr="003307A2">
        <w:rPr>
          <w:rFonts w:asciiTheme="minorHAnsi" w:hAnsiTheme="minorHAnsi" w:cs="Arial"/>
          <w:color w:val="3B3B3B"/>
          <w:kern w:val="36"/>
        </w:rPr>
        <w:t>De nombreuses études ont sorti des chiffres positifs sur les effets de la consommation de produits laitiers</w:t>
      </w:r>
      <w:r w:rsidR="00834214">
        <w:rPr>
          <w:rFonts w:asciiTheme="minorHAnsi" w:hAnsiTheme="minorHAnsi" w:cs="Arial"/>
          <w:color w:val="3B3B3B"/>
          <w:kern w:val="36"/>
        </w:rPr>
        <w:t xml:space="preserve"> </w:t>
      </w:r>
      <w:r w:rsidRPr="003307A2">
        <w:rPr>
          <w:rFonts w:asciiTheme="minorHAnsi" w:hAnsiTheme="minorHAnsi" w:cs="Arial"/>
          <w:color w:val="3B3B3B"/>
          <w:kern w:val="36"/>
        </w:rPr>
        <w:t>sur l’ostéoporose, les risques cardiovasculaires, le diabète et même la mortalité. Mais étant donné la découverte que beaucoup de ces études ont été pour la plupart financées par les lobbys du lait, on en vient de plus en plus à les mettre en doute.</w:t>
      </w:r>
    </w:p>
    <w:p w:rsidR="003307A2" w:rsidRPr="003307A2" w:rsidRDefault="003307A2" w:rsidP="008D6017">
      <w:pPr>
        <w:pStyle w:val="NormalWeb"/>
        <w:shd w:val="clear" w:color="auto" w:fill="FFFFFF"/>
        <w:spacing w:before="0" w:beforeAutospacing="0" w:after="240" w:afterAutospacing="0"/>
        <w:jc w:val="both"/>
        <w:rPr>
          <w:rFonts w:asciiTheme="minorHAnsi" w:hAnsiTheme="minorHAnsi" w:cs="Arial"/>
          <w:color w:val="3B3B3B"/>
          <w:kern w:val="36"/>
        </w:rPr>
      </w:pPr>
    </w:p>
    <w:p w:rsidR="003307A2" w:rsidRPr="003307A2" w:rsidRDefault="003307A2" w:rsidP="008D6017">
      <w:pPr>
        <w:pStyle w:val="NormalWeb"/>
        <w:shd w:val="clear" w:color="auto" w:fill="FFFFFF"/>
        <w:spacing w:before="0" w:beforeAutospacing="0" w:after="240" w:afterAutospacing="0"/>
        <w:jc w:val="both"/>
        <w:rPr>
          <w:rFonts w:asciiTheme="minorHAnsi" w:hAnsiTheme="minorHAnsi" w:cs="Arial"/>
          <w:color w:val="3B3B3B"/>
          <w:kern w:val="36"/>
        </w:rPr>
      </w:pPr>
      <w:r w:rsidRPr="003307A2">
        <w:rPr>
          <w:rFonts w:asciiTheme="minorHAnsi" w:hAnsiTheme="minorHAnsi" w:cs="Arial"/>
          <w:color w:val="3B3B3B"/>
          <w:kern w:val="36"/>
        </w:rPr>
        <w:t>Des études récentes trouvent les résultats contraires. Dans deux cohortes suédoises, l’une comprenant 61</w:t>
      </w:r>
      <w:r w:rsidRPr="003307A2">
        <w:rPr>
          <w:color w:val="3B3B3B"/>
          <w:kern w:val="36"/>
        </w:rPr>
        <w:t> </w:t>
      </w:r>
      <w:r w:rsidRPr="003307A2">
        <w:rPr>
          <w:rFonts w:asciiTheme="minorHAnsi" w:hAnsiTheme="minorHAnsi" w:cs="Arial"/>
          <w:color w:val="3B3B3B"/>
          <w:kern w:val="36"/>
        </w:rPr>
        <w:t>43 femmes suivies pendant plus de 20 ans de 39 à 74 ans et une autre 45</w:t>
      </w:r>
      <w:r w:rsidRPr="003307A2">
        <w:rPr>
          <w:color w:val="3B3B3B"/>
          <w:kern w:val="36"/>
        </w:rPr>
        <w:t> </w:t>
      </w:r>
      <w:r w:rsidRPr="003307A2">
        <w:rPr>
          <w:rFonts w:asciiTheme="minorHAnsi" w:hAnsiTheme="minorHAnsi" w:cs="Arial"/>
          <w:color w:val="3B3B3B"/>
          <w:kern w:val="36"/>
        </w:rPr>
        <w:t>339 hommes de 45 à 79 ans suivis pendant plus de 11 ans la consommation de 3 ou plus verres de lait par jour comparée à un seul :</w:t>
      </w:r>
    </w:p>
    <w:p w:rsidR="003307A2" w:rsidRPr="003307A2" w:rsidRDefault="003307A2" w:rsidP="008D6017">
      <w:pPr>
        <w:pStyle w:val="NormalWeb"/>
        <w:numPr>
          <w:ilvl w:val="0"/>
          <w:numId w:val="16"/>
        </w:numPr>
        <w:shd w:val="clear" w:color="auto" w:fill="FFFFFF"/>
        <w:spacing w:before="0" w:beforeAutospacing="0" w:after="240" w:afterAutospacing="0"/>
        <w:jc w:val="both"/>
        <w:rPr>
          <w:rFonts w:asciiTheme="minorHAnsi" w:hAnsiTheme="minorHAnsi" w:cs="Arial"/>
          <w:color w:val="3B3B3B"/>
          <w:kern w:val="36"/>
        </w:rPr>
      </w:pPr>
      <w:r w:rsidRPr="003307A2">
        <w:rPr>
          <w:rFonts w:asciiTheme="minorHAnsi" w:hAnsiTheme="minorHAnsi" w:cs="Arial"/>
          <w:color w:val="3B3B3B"/>
          <w:kern w:val="36"/>
        </w:rPr>
        <w:t>est associée, chez les femmes à une augmentation du risque de toute fracture de 16% et de fracture du col du fémur de 60%</w:t>
      </w:r>
      <w:r w:rsidR="005D0038">
        <w:rPr>
          <w:rFonts w:asciiTheme="minorHAnsi" w:hAnsiTheme="minorHAnsi" w:cs="Arial"/>
          <w:color w:val="3B3B3B"/>
          <w:kern w:val="36"/>
        </w:rPr>
        <w:t> ;</w:t>
      </w:r>
    </w:p>
    <w:p w:rsidR="003307A2" w:rsidRPr="003307A2" w:rsidRDefault="003307A2" w:rsidP="008D6017">
      <w:pPr>
        <w:pStyle w:val="NormalWeb"/>
        <w:numPr>
          <w:ilvl w:val="0"/>
          <w:numId w:val="16"/>
        </w:numPr>
        <w:shd w:val="clear" w:color="auto" w:fill="FFFFFF"/>
        <w:spacing w:before="0" w:beforeAutospacing="0" w:after="240" w:afterAutospacing="0"/>
        <w:jc w:val="both"/>
        <w:rPr>
          <w:rFonts w:asciiTheme="minorHAnsi" w:hAnsiTheme="minorHAnsi" w:cs="Arial"/>
          <w:color w:val="3B3B3B"/>
          <w:kern w:val="36"/>
        </w:rPr>
      </w:pPr>
      <w:r w:rsidRPr="003307A2">
        <w:rPr>
          <w:rFonts w:asciiTheme="minorHAnsi" w:hAnsiTheme="minorHAnsi" w:cs="Arial"/>
          <w:color w:val="3B3B3B"/>
          <w:kern w:val="36"/>
        </w:rPr>
        <w:t>n’est pas associée aux risques de fracture chez les hommes</w:t>
      </w:r>
      <w:r w:rsidR="005D0038">
        <w:rPr>
          <w:rFonts w:asciiTheme="minorHAnsi" w:hAnsiTheme="minorHAnsi" w:cs="Arial"/>
          <w:color w:val="3B3B3B"/>
          <w:kern w:val="36"/>
        </w:rPr>
        <w:t> ;</w:t>
      </w:r>
    </w:p>
    <w:p w:rsidR="003307A2" w:rsidRPr="003307A2" w:rsidRDefault="003307A2" w:rsidP="008D6017">
      <w:pPr>
        <w:pStyle w:val="NormalWeb"/>
        <w:numPr>
          <w:ilvl w:val="0"/>
          <w:numId w:val="16"/>
        </w:numPr>
        <w:shd w:val="clear" w:color="auto" w:fill="FFFFFF"/>
        <w:spacing w:before="0" w:beforeAutospacing="0" w:after="240" w:afterAutospacing="0"/>
        <w:jc w:val="both"/>
        <w:rPr>
          <w:rFonts w:asciiTheme="minorHAnsi" w:hAnsiTheme="minorHAnsi" w:cs="Arial"/>
          <w:color w:val="3B3B3B"/>
          <w:kern w:val="36"/>
        </w:rPr>
      </w:pPr>
      <w:r w:rsidRPr="003307A2">
        <w:rPr>
          <w:rFonts w:asciiTheme="minorHAnsi" w:hAnsiTheme="minorHAnsi" w:cs="Arial"/>
          <w:color w:val="3B3B3B"/>
          <w:kern w:val="36"/>
        </w:rPr>
        <w:t>est associée à une augmentation de la m</w:t>
      </w:r>
      <w:r w:rsidR="00C65086">
        <w:rPr>
          <w:rFonts w:asciiTheme="minorHAnsi" w:hAnsiTheme="minorHAnsi" w:cs="Arial"/>
          <w:color w:val="3B3B3B"/>
          <w:kern w:val="36"/>
        </w:rPr>
        <w:t>ortalité de toutes causes</w:t>
      </w:r>
      <w:r w:rsidRPr="003307A2">
        <w:rPr>
          <w:rFonts w:asciiTheme="minorHAnsi" w:hAnsiTheme="minorHAnsi" w:cs="Arial"/>
          <w:color w:val="3B3B3B"/>
          <w:kern w:val="36"/>
        </w:rPr>
        <w:t xml:space="preserve"> chez les femmes et de la mortalité cardiovasculaire chez les hommes.</w:t>
      </w:r>
    </w:p>
    <w:p w:rsidR="003307A2" w:rsidRPr="003307A2" w:rsidRDefault="003307A2" w:rsidP="008D6017">
      <w:pPr>
        <w:pStyle w:val="NormalWeb"/>
        <w:shd w:val="clear" w:color="auto" w:fill="FFFFFF"/>
        <w:spacing w:before="0" w:beforeAutospacing="0" w:after="240" w:afterAutospacing="0"/>
        <w:jc w:val="both"/>
        <w:rPr>
          <w:rFonts w:asciiTheme="minorHAnsi" w:hAnsiTheme="minorHAnsi" w:cs="Arial"/>
          <w:color w:val="3B3B3B"/>
          <w:kern w:val="36"/>
        </w:rPr>
      </w:pPr>
      <w:r w:rsidRPr="003307A2">
        <w:rPr>
          <w:rFonts w:asciiTheme="minorHAnsi" w:hAnsiTheme="minorHAnsi" w:cs="Arial"/>
          <w:color w:val="3B3B3B"/>
          <w:kern w:val="36"/>
        </w:rPr>
        <w:t>Par contre cette étude trouve seulement chez les femmes une association entre la consommation d’une portion de produits laitiers fermentés et une réduction et du risque de fractures et de la mortalité de 10 à 15% par portion.</w:t>
      </w:r>
    </w:p>
    <w:p w:rsidR="003307A2" w:rsidRPr="003307A2" w:rsidRDefault="003307A2" w:rsidP="008D6017">
      <w:pPr>
        <w:pStyle w:val="NormalWeb"/>
        <w:shd w:val="clear" w:color="auto" w:fill="FFFFFF"/>
        <w:spacing w:before="0" w:beforeAutospacing="0" w:after="240" w:afterAutospacing="0"/>
        <w:jc w:val="both"/>
        <w:rPr>
          <w:rFonts w:asciiTheme="minorHAnsi" w:hAnsiTheme="minorHAnsi" w:cs="Arial"/>
          <w:color w:val="3B3B3B"/>
          <w:kern w:val="36"/>
        </w:rPr>
      </w:pPr>
      <w:r w:rsidRPr="003307A2">
        <w:rPr>
          <w:rFonts w:asciiTheme="minorHAnsi" w:hAnsiTheme="minorHAnsi" w:cs="Arial"/>
          <w:color w:val="3B3B3B"/>
          <w:kern w:val="36"/>
        </w:rPr>
        <w:t>Les auteurs constatent par ailleurs dans deux sous-groupes testés dans chaque cohorte que la consommation de produits laitiers s’accompagne de </w:t>
      </w:r>
      <w:r w:rsidRPr="005D0038">
        <w:rPr>
          <w:rFonts w:asciiTheme="minorHAnsi" w:hAnsiTheme="minorHAnsi" w:cs="Arial"/>
          <w:b/>
          <w:color w:val="3B3B3B"/>
          <w:kern w:val="36"/>
        </w:rPr>
        <w:t>l’élévation de marqueurs inflammatoires : IL6 dans le sang et isoprostanes dans les urines</w:t>
      </w:r>
      <w:r w:rsidRPr="003307A2">
        <w:rPr>
          <w:rFonts w:asciiTheme="minorHAnsi" w:hAnsiTheme="minorHAnsi" w:cs="Arial"/>
          <w:color w:val="3B3B3B"/>
          <w:kern w:val="36"/>
        </w:rPr>
        <w:t>.(14)</w:t>
      </w:r>
    </w:p>
    <w:p w:rsidR="003307A2" w:rsidRPr="003307A2" w:rsidRDefault="000F42D8" w:rsidP="008D6017">
      <w:pPr>
        <w:keepNext/>
        <w:spacing w:before="480" w:after="240"/>
        <w:jc w:val="both"/>
        <w:rPr>
          <w:rFonts w:eastAsiaTheme="majorEastAsia" w:cstheme="majorBidi"/>
          <w:b/>
          <w:bCs/>
          <w:caps/>
          <w:color w:val="2B9F97"/>
          <w:sz w:val="32"/>
          <w:szCs w:val="32"/>
        </w:rPr>
      </w:pPr>
      <w:r>
        <w:rPr>
          <w:rFonts w:eastAsiaTheme="majorEastAsia" w:cstheme="majorBidi"/>
          <w:b/>
          <w:bCs/>
          <w:caps/>
          <w:color w:val="2B9F97"/>
          <w:sz w:val="32"/>
          <w:szCs w:val="32"/>
        </w:rPr>
        <w:t xml:space="preserve">Produits laitiers, risques </w:t>
      </w:r>
      <w:r w:rsidR="003307A2" w:rsidRPr="003307A2">
        <w:rPr>
          <w:rFonts w:eastAsiaTheme="majorEastAsia" w:cstheme="majorBidi"/>
          <w:b/>
          <w:bCs/>
          <w:caps/>
          <w:color w:val="2B9F97"/>
          <w:sz w:val="32"/>
          <w:szCs w:val="32"/>
        </w:rPr>
        <w:t>cardiovasculaires</w:t>
      </w:r>
    </w:p>
    <w:p w:rsidR="003307A2" w:rsidRPr="003307A2" w:rsidRDefault="003307A2" w:rsidP="008D6017">
      <w:pPr>
        <w:pStyle w:val="NormalWeb"/>
        <w:shd w:val="clear" w:color="auto" w:fill="FFFFFF"/>
        <w:spacing w:before="0" w:beforeAutospacing="0" w:after="240" w:afterAutospacing="0"/>
        <w:jc w:val="both"/>
        <w:rPr>
          <w:rFonts w:asciiTheme="minorHAnsi" w:hAnsiTheme="minorHAnsi" w:cs="Arial"/>
          <w:color w:val="3B3B3B"/>
          <w:kern w:val="36"/>
        </w:rPr>
      </w:pPr>
      <w:r w:rsidRPr="003307A2">
        <w:rPr>
          <w:rFonts w:asciiTheme="minorHAnsi" w:hAnsiTheme="minorHAnsi" w:cs="Arial"/>
          <w:color w:val="3B3B3B"/>
          <w:kern w:val="36"/>
        </w:rPr>
        <w:t>De nombreuses études constatent une augmentation des risques cardiovasculaires, de certains cancers (en tête celui de la prostate) et d</w:t>
      </w:r>
      <w:r w:rsidR="005D0038">
        <w:rPr>
          <w:rFonts w:asciiTheme="minorHAnsi" w:hAnsiTheme="minorHAnsi" w:cs="Arial"/>
          <w:color w:val="3B3B3B"/>
          <w:kern w:val="36"/>
        </w:rPr>
        <w:t xml:space="preserve">e la mortalité de toutes causes </w:t>
      </w:r>
      <w:r w:rsidRPr="005D0038">
        <w:rPr>
          <w:rFonts w:asciiTheme="minorHAnsi" w:hAnsiTheme="minorHAnsi" w:cs="Arial"/>
          <w:b/>
          <w:color w:val="3B3B3B"/>
          <w:kern w:val="36"/>
        </w:rPr>
        <w:t>chez les gros consommateurs de produits laitiers</w:t>
      </w:r>
      <w:r w:rsidRPr="003307A2">
        <w:rPr>
          <w:rFonts w:asciiTheme="minorHAnsi" w:hAnsiTheme="minorHAnsi" w:cs="Arial"/>
          <w:color w:val="3B3B3B"/>
          <w:kern w:val="36"/>
        </w:rPr>
        <w:t>. Dès 1994, Segall met en avant que les études indiquent que la consommation de produits laitiers riches en lactose est associée avec une augmentation de la mortalité cardiovasculaire. (15)</w:t>
      </w:r>
    </w:p>
    <w:p w:rsidR="003307A2" w:rsidRPr="00630EC2" w:rsidRDefault="003307A2" w:rsidP="00630EC2">
      <w:pPr>
        <w:keepNext/>
        <w:spacing w:before="480" w:after="240"/>
        <w:jc w:val="both"/>
        <w:rPr>
          <w:rFonts w:eastAsiaTheme="majorEastAsia" w:cstheme="majorBidi"/>
          <w:b/>
          <w:bCs/>
          <w:caps/>
          <w:color w:val="2B9F97"/>
          <w:sz w:val="32"/>
          <w:szCs w:val="32"/>
        </w:rPr>
      </w:pPr>
      <w:r w:rsidRPr="003307A2">
        <w:rPr>
          <w:rFonts w:eastAsiaTheme="majorEastAsia" w:cstheme="majorBidi"/>
          <w:b/>
          <w:bCs/>
          <w:caps/>
          <w:color w:val="2B9F97"/>
          <w:sz w:val="32"/>
          <w:szCs w:val="32"/>
        </w:rPr>
        <w:t>Produits laitiers et</w:t>
      </w:r>
      <w:r w:rsidR="000F42D8">
        <w:rPr>
          <w:rFonts w:eastAsiaTheme="majorEastAsia" w:cstheme="majorBidi"/>
          <w:b/>
          <w:bCs/>
          <w:caps/>
          <w:color w:val="2B9F97"/>
          <w:sz w:val="32"/>
          <w:szCs w:val="32"/>
        </w:rPr>
        <w:t xml:space="preserve"> </w:t>
      </w:r>
      <w:r w:rsidRPr="003307A2">
        <w:rPr>
          <w:rFonts w:eastAsiaTheme="majorEastAsia" w:cstheme="majorBidi"/>
          <w:b/>
          <w:bCs/>
          <w:caps/>
          <w:color w:val="2B9F97"/>
          <w:sz w:val="32"/>
          <w:szCs w:val="32"/>
        </w:rPr>
        <w:t>acné</w:t>
      </w:r>
    </w:p>
    <w:p w:rsidR="00630EC2" w:rsidRDefault="003307A2" w:rsidP="008D6017">
      <w:pPr>
        <w:pStyle w:val="NormalWeb"/>
        <w:shd w:val="clear" w:color="auto" w:fill="FFFFFF"/>
        <w:spacing w:before="0" w:beforeAutospacing="0" w:after="240" w:afterAutospacing="0"/>
        <w:jc w:val="both"/>
        <w:rPr>
          <w:rFonts w:asciiTheme="minorHAnsi" w:hAnsiTheme="minorHAnsi" w:cs="Arial"/>
          <w:color w:val="3B3B3B"/>
          <w:kern w:val="36"/>
        </w:rPr>
      </w:pPr>
      <w:r w:rsidRPr="003307A2">
        <w:rPr>
          <w:rFonts w:asciiTheme="minorHAnsi" w:hAnsiTheme="minorHAnsi" w:cs="Arial"/>
          <w:color w:val="3B3B3B"/>
          <w:kern w:val="36"/>
        </w:rPr>
        <w:t>De nombreuses études établissent un lien entre la consommation de produits laitiers, la fréquence et la sévérité de l’acné, une relation qui est retrouvée plus tard entre acné et risque de cancer de la prostate. (17)</w:t>
      </w:r>
    </w:p>
    <w:p w:rsidR="00630EC2" w:rsidRPr="00630EC2" w:rsidRDefault="00630EC2" w:rsidP="008D6017">
      <w:pPr>
        <w:pStyle w:val="NormalWeb"/>
        <w:shd w:val="clear" w:color="auto" w:fill="FFFFFF"/>
        <w:spacing w:before="0" w:beforeAutospacing="0" w:after="240" w:afterAutospacing="0"/>
        <w:jc w:val="both"/>
        <w:rPr>
          <w:rFonts w:asciiTheme="minorHAnsi" w:hAnsiTheme="minorHAnsi" w:cs="Arial"/>
          <w:color w:val="3B3B3B"/>
          <w:kern w:val="36"/>
        </w:rPr>
      </w:pPr>
    </w:p>
    <w:p w:rsidR="003307A2" w:rsidRPr="00630EC2" w:rsidRDefault="003307A2" w:rsidP="00630EC2">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after="240" w:afterAutospacing="0"/>
        <w:jc w:val="both"/>
        <w:rPr>
          <w:rFonts w:asciiTheme="minorHAnsi" w:hAnsiTheme="minorHAnsi" w:cs="Arial"/>
          <w:i/>
          <w:color w:val="3B3B3B"/>
          <w:kern w:val="36"/>
          <w:sz w:val="28"/>
        </w:rPr>
      </w:pPr>
      <w:r w:rsidRPr="00630EC2">
        <w:rPr>
          <w:rFonts w:asciiTheme="minorHAnsi" w:hAnsiTheme="minorHAnsi" w:cs="Arial"/>
          <w:i/>
          <w:color w:val="3B3B3B"/>
          <w:kern w:val="36"/>
          <w:sz w:val="28"/>
        </w:rPr>
        <w:t>Quoi qu’il en soit, compte tenu des multiples preuves dont nous disposons depuis longtemps, qui sont publiées dans les plus grands journaux scientifiques et font consensus chez les chercheurs INDEPENDANTS, les pouvoirs publics devraient cesser d’inciter la population à surconsommer lait et laitages pour des bénéfices osseux inexistants et tenir désormais, un discours de bon sens (non, le lait n’empêche pas les fractures) et de modération : éviter les laitages quand on ne les tolère pas, sinon les consommer pour le plaisir, sans dépasser une à deux portions quotidiennes sous forme de fromage fermenté Bio (plus digeste car pauv</w:t>
      </w:r>
      <w:r w:rsidR="00C65086">
        <w:rPr>
          <w:rFonts w:asciiTheme="minorHAnsi" w:hAnsiTheme="minorHAnsi" w:cs="Arial"/>
          <w:i/>
          <w:color w:val="3B3B3B"/>
          <w:kern w:val="36"/>
          <w:sz w:val="28"/>
        </w:rPr>
        <w:t>re en lactose)</w:t>
      </w:r>
      <w:r w:rsidRPr="00630EC2">
        <w:rPr>
          <w:rFonts w:asciiTheme="minorHAnsi" w:hAnsiTheme="minorHAnsi" w:cs="Arial"/>
          <w:i/>
          <w:color w:val="3B3B3B"/>
          <w:kern w:val="36"/>
          <w:sz w:val="28"/>
        </w:rPr>
        <w:t>, et occasionnellement un yaourt</w:t>
      </w:r>
      <w:r w:rsidR="00C65086">
        <w:rPr>
          <w:rFonts w:asciiTheme="minorHAnsi" w:hAnsiTheme="minorHAnsi" w:cs="Arial"/>
          <w:i/>
          <w:color w:val="3B3B3B"/>
          <w:kern w:val="36"/>
          <w:sz w:val="28"/>
        </w:rPr>
        <w:t xml:space="preserve"> bio </w:t>
      </w:r>
      <w:r w:rsidRPr="00630EC2">
        <w:rPr>
          <w:rFonts w:asciiTheme="minorHAnsi" w:hAnsiTheme="minorHAnsi" w:cs="Arial"/>
          <w:i/>
          <w:color w:val="3B3B3B"/>
          <w:kern w:val="36"/>
          <w:sz w:val="28"/>
        </w:rPr>
        <w:t>riche en ferments vivants</w:t>
      </w:r>
      <w:r w:rsidR="00C65086">
        <w:rPr>
          <w:rFonts w:asciiTheme="minorHAnsi" w:hAnsiTheme="minorHAnsi" w:cs="Arial"/>
          <w:i/>
          <w:color w:val="3B3B3B"/>
          <w:kern w:val="36"/>
          <w:sz w:val="28"/>
        </w:rPr>
        <w:t>, un peu de beurre</w:t>
      </w:r>
      <w:r w:rsidRPr="00630EC2">
        <w:rPr>
          <w:rFonts w:asciiTheme="minorHAnsi" w:hAnsiTheme="minorHAnsi" w:cs="Arial"/>
          <w:i/>
          <w:color w:val="3B3B3B"/>
          <w:kern w:val="36"/>
          <w:sz w:val="28"/>
        </w:rPr>
        <w:t>.</w:t>
      </w:r>
    </w:p>
    <w:p w:rsidR="00F27DD1" w:rsidRDefault="00F27DD1" w:rsidP="008D6017">
      <w:pPr>
        <w:pStyle w:val="NormalWeb"/>
        <w:shd w:val="clear" w:color="auto" w:fill="FFFFFF"/>
        <w:spacing w:before="0" w:beforeAutospacing="0" w:after="240" w:afterAutospacing="0"/>
        <w:jc w:val="both"/>
      </w:pPr>
    </w:p>
    <w:p w:rsidR="00630EC2" w:rsidRDefault="00E9033F" w:rsidP="008D6017">
      <w:pPr>
        <w:pStyle w:val="NormalWeb"/>
        <w:shd w:val="clear" w:color="auto" w:fill="FFFFFF"/>
        <w:spacing w:before="0" w:beforeAutospacing="0" w:after="240" w:afterAutospacing="0"/>
        <w:jc w:val="both"/>
      </w:pPr>
      <w:hyperlink r:id="rId54" w:tooltip="Pierre Van vlodorp nutritionniste à Liège" w:history="1">
        <w:r w:rsidR="003307A2" w:rsidRPr="003307A2">
          <w:rPr>
            <w:rFonts w:asciiTheme="minorHAnsi" w:hAnsiTheme="minorHAnsi" w:cs="Arial"/>
            <w:color w:val="3B3B3B"/>
            <w:kern w:val="36"/>
          </w:rPr>
          <w:t>Pierre Van Vlodorp</w:t>
        </w:r>
      </w:hyperlink>
      <w:r w:rsidR="00F27DD1">
        <w:t xml:space="preserve"> - Nutrithérapeute</w:t>
      </w:r>
    </w:p>
    <w:p w:rsidR="003307A2" w:rsidRPr="003307A2" w:rsidRDefault="003307A2" w:rsidP="008D6017">
      <w:pPr>
        <w:pStyle w:val="NormalWeb"/>
        <w:shd w:val="clear" w:color="auto" w:fill="FFFFFF"/>
        <w:spacing w:before="0" w:beforeAutospacing="0" w:after="240" w:afterAutospacing="0"/>
        <w:jc w:val="both"/>
        <w:rPr>
          <w:rFonts w:asciiTheme="minorHAnsi" w:hAnsiTheme="minorHAnsi" w:cs="Arial"/>
          <w:color w:val="3B3B3B"/>
          <w:kern w:val="36"/>
        </w:rPr>
      </w:pPr>
    </w:p>
    <w:p w:rsidR="00057DFE" w:rsidRPr="00511CF9" w:rsidRDefault="00057DFE" w:rsidP="008D6017">
      <w:pPr>
        <w:spacing w:before="360" w:after="240"/>
        <w:jc w:val="both"/>
        <w:rPr>
          <w:rFonts w:eastAsiaTheme="majorEastAsia" w:cstheme="majorBidi"/>
          <w:b/>
          <w:bCs/>
          <w:caps/>
          <w:color w:val="2B9F97"/>
          <w:sz w:val="22"/>
          <w:szCs w:val="32"/>
          <w:lang w:val="en-GB"/>
        </w:rPr>
      </w:pPr>
      <w:r w:rsidRPr="00511CF9">
        <w:rPr>
          <w:rFonts w:eastAsiaTheme="majorEastAsia" w:cstheme="majorBidi"/>
          <w:b/>
          <w:bCs/>
          <w:caps/>
          <w:color w:val="2B9F97"/>
          <w:sz w:val="22"/>
          <w:szCs w:val="32"/>
          <w:lang w:val="en-GB"/>
        </w:rPr>
        <w:t xml:space="preserve">Sources et </w:t>
      </w:r>
      <w:r w:rsidR="00511CF9" w:rsidRPr="00511CF9">
        <w:rPr>
          <w:rFonts w:eastAsiaTheme="majorEastAsia" w:cstheme="majorBidi"/>
          <w:b/>
          <w:bCs/>
          <w:caps/>
          <w:color w:val="2B9F97"/>
          <w:sz w:val="22"/>
          <w:szCs w:val="32"/>
          <w:lang w:val="en-GB"/>
        </w:rPr>
        <w:t>RÉFÉRENCES:</w:t>
      </w:r>
    </w:p>
    <w:p w:rsidR="00511CF9" w:rsidRPr="00511CF9" w:rsidRDefault="00511CF9" w:rsidP="008D6017">
      <w:pPr>
        <w:pStyle w:val="Paragraphedeliste"/>
        <w:numPr>
          <w:ilvl w:val="0"/>
          <w:numId w:val="4"/>
        </w:numPr>
        <w:spacing w:before="100" w:beforeAutospacing="1" w:after="240"/>
        <w:ind w:left="714" w:hanging="357"/>
        <w:contextualSpacing w:val="0"/>
        <w:jc w:val="both"/>
        <w:outlineLvl w:val="0"/>
        <w:rPr>
          <w:rFonts w:eastAsia="Times New Roman" w:cs="Arial"/>
          <w:color w:val="3B3B3B"/>
          <w:kern w:val="36"/>
          <w:sz w:val="18"/>
          <w:lang w:val="en-GB" w:eastAsia="fr-BE"/>
        </w:rPr>
      </w:pPr>
      <w:r w:rsidRPr="00511CF9">
        <w:rPr>
          <w:rFonts w:eastAsia="Times New Roman" w:cs="Arial"/>
          <w:color w:val="3B3B3B"/>
          <w:kern w:val="36"/>
          <w:sz w:val="18"/>
          <w:lang w:val="en-GB" w:eastAsia="fr-BE"/>
        </w:rPr>
        <w:t>1. Song X et al, Advanced glycation in D-galactose induced mouse aging model,</w:t>
      </w:r>
      <w:r w:rsidRPr="00511CF9">
        <w:rPr>
          <w:rFonts w:eastAsia="Times New Roman"/>
          <w:kern w:val="36"/>
          <w:sz w:val="18"/>
          <w:lang w:val="en-GB" w:eastAsia="fr-BE"/>
        </w:rPr>
        <w:t> </w:t>
      </w:r>
      <w:r w:rsidRPr="00511CF9">
        <w:rPr>
          <w:rFonts w:eastAsia="Times New Roman"/>
          <w:i/>
          <w:iCs/>
          <w:kern w:val="36"/>
          <w:sz w:val="18"/>
          <w:lang w:val="en-GB" w:eastAsia="fr-BE"/>
        </w:rPr>
        <w:t>Mech Ageing Dev,</w:t>
      </w:r>
      <w:r w:rsidRPr="00511CF9">
        <w:rPr>
          <w:rFonts w:eastAsia="Times New Roman"/>
          <w:kern w:val="36"/>
          <w:sz w:val="18"/>
          <w:lang w:val="en-GB" w:eastAsia="fr-BE"/>
        </w:rPr>
        <w:t> </w:t>
      </w:r>
      <w:r w:rsidRPr="00511CF9">
        <w:rPr>
          <w:rFonts w:eastAsia="Times New Roman" w:cs="Arial"/>
          <w:color w:val="3B3B3B"/>
          <w:kern w:val="36"/>
          <w:sz w:val="18"/>
          <w:lang w:val="en-GB" w:eastAsia="fr-BE"/>
        </w:rPr>
        <w:t>1999; 108 : 239-51</w:t>
      </w:r>
    </w:p>
    <w:p w:rsidR="00511CF9" w:rsidRPr="00511CF9" w:rsidRDefault="00511CF9" w:rsidP="008D6017">
      <w:pPr>
        <w:pStyle w:val="Paragraphedeliste"/>
        <w:numPr>
          <w:ilvl w:val="0"/>
          <w:numId w:val="4"/>
        </w:numPr>
        <w:spacing w:before="100" w:beforeAutospacing="1" w:after="240"/>
        <w:ind w:left="714" w:hanging="357"/>
        <w:contextualSpacing w:val="0"/>
        <w:jc w:val="both"/>
        <w:outlineLvl w:val="0"/>
        <w:rPr>
          <w:rFonts w:eastAsia="Times New Roman" w:cs="Arial"/>
          <w:color w:val="3B3B3B"/>
          <w:kern w:val="36"/>
          <w:sz w:val="18"/>
          <w:lang w:val="en-GB" w:eastAsia="fr-BE"/>
        </w:rPr>
      </w:pPr>
      <w:r w:rsidRPr="00511CF9">
        <w:rPr>
          <w:rFonts w:eastAsia="Times New Roman" w:cs="Arial"/>
          <w:color w:val="3B3B3B"/>
          <w:kern w:val="36"/>
          <w:sz w:val="18"/>
          <w:lang w:val="en-GB" w:eastAsia="fr-BE"/>
        </w:rPr>
        <w:t>2. Cui X et al. Chronic systemic D-galactose exposure induces memory loss, neurodegeneration, and oxidative damage in mice: protective effects of R-alpha-lipoic acid,</w:t>
      </w:r>
      <w:r w:rsidRPr="00511CF9">
        <w:rPr>
          <w:rFonts w:eastAsia="Times New Roman"/>
          <w:kern w:val="36"/>
          <w:sz w:val="18"/>
          <w:lang w:val="en-GB" w:eastAsia="fr-BE"/>
        </w:rPr>
        <w:t> </w:t>
      </w:r>
      <w:r w:rsidRPr="00511CF9">
        <w:rPr>
          <w:rFonts w:eastAsia="Times New Roman"/>
          <w:i/>
          <w:iCs/>
          <w:kern w:val="36"/>
          <w:sz w:val="18"/>
          <w:lang w:val="en-GB" w:eastAsia="fr-BE"/>
        </w:rPr>
        <w:t>J Neurosci Res,</w:t>
      </w:r>
      <w:r w:rsidRPr="00511CF9">
        <w:rPr>
          <w:rFonts w:eastAsia="Times New Roman"/>
          <w:kern w:val="36"/>
          <w:sz w:val="18"/>
          <w:lang w:val="en-GB" w:eastAsia="fr-BE"/>
        </w:rPr>
        <w:t> </w:t>
      </w:r>
      <w:r w:rsidRPr="00511CF9">
        <w:rPr>
          <w:rFonts w:eastAsia="Times New Roman" w:cs="Arial"/>
          <w:color w:val="3B3B3B"/>
          <w:kern w:val="36"/>
          <w:sz w:val="18"/>
          <w:lang w:val="en-GB" w:eastAsia="fr-BE"/>
        </w:rPr>
        <w:t>2006; 83 : 1584-90</w:t>
      </w:r>
    </w:p>
    <w:p w:rsidR="00511CF9" w:rsidRPr="00511CF9" w:rsidRDefault="00511CF9" w:rsidP="008D6017">
      <w:pPr>
        <w:pStyle w:val="Paragraphedeliste"/>
        <w:numPr>
          <w:ilvl w:val="0"/>
          <w:numId w:val="4"/>
        </w:numPr>
        <w:spacing w:before="100" w:beforeAutospacing="1" w:after="240"/>
        <w:ind w:left="714" w:hanging="357"/>
        <w:contextualSpacing w:val="0"/>
        <w:jc w:val="both"/>
        <w:outlineLvl w:val="0"/>
        <w:rPr>
          <w:rFonts w:eastAsia="Times New Roman" w:cs="Arial"/>
          <w:color w:val="3B3B3B"/>
          <w:kern w:val="36"/>
          <w:sz w:val="18"/>
          <w:lang w:val="en-GB" w:eastAsia="fr-BE"/>
        </w:rPr>
      </w:pPr>
      <w:r w:rsidRPr="00511CF9">
        <w:rPr>
          <w:rFonts w:eastAsia="Times New Roman" w:cs="Arial"/>
          <w:color w:val="3B3B3B"/>
          <w:kern w:val="36"/>
          <w:sz w:val="18"/>
          <w:lang w:val="en-GB" w:eastAsia="fr-BE"/>
        </w:rPr>
        <w:t>3. Hao L et al, The influence of gender, age and treatment time on brain oxidative stress and memory impairment induced by d-galactose in mice,</w:t>
      </w:r>
      <w:r w:rsidRPr="00511CF9">
        <w:rPr>
          <w:rFonts w:eastAsia="Times New Roman"/>
          <w:kern w:val="36"/>
          <w:sz w:val="18"/>
          <w:lang w:val="en-GB" w:eastAsia="fr-BE"/>
        </w:rPr>
        <w:t> </w:t>
      </w:r>
      <w:r w:rsidRPr="00511CF9">
        <w:rPr>
          <w:rFonts w:eastAsia="Times New Roman"/>
          <w:i/>
          <w:iCs/>
          <w:kern w:val="36"/>
          <w:sz w:val="18"/>
          <w:lang w:val="en-GB" w:eastAsia="fr-BE"/>
        </w:rPr>
        <w:t>Neurosci Lett,</w:t>
      </w:r>
      <w:r w:rsidRPr="00511CF9">
        <w:rPr>
          <w:rFonts w:eastAsia="Times New Roman"/>
          <w:kern w:val="36"/>
          <w:sz w:val="18"/>
          <w:lang w:val="en-GB" w:eastAsia="fr-BE"/>
        </w:rPr>
        <w:t> </w:t>
      </w:r>
      <w:r w:rsidRPr="00511CF9">
        <w:rPr>
          <w:rFonts w:eastAsia="Times New Roman" w:cs="Arial"/>
          <w:color w:val="3B3B3B"/>
          <w:kern w:val="36"/>
          <w:sz w:val="18"/>
          <w:lang w:val="en-GB" w:eastAsia="fr-BE"/>
        </w:rPr>
        <w:t>2014 ; 571C : 45-9</w:t>
      </w:r>
    </w:p>
    <w:p w:rsidR="00511CF9" w:rsidRPr="00511CF9" w:rsidRDefault="00511CF9" w:rsidP="008D6017">
      <w:pPr>
        <w:pStyle w:val="Paragraphedeliste"/>
        <w:numPr>
          <w:ilvl w:val="0"/>
          <w:numId w:val="4"/>
        </w:numPr>
        <w:spacing w:before="100" w:beforeAutospacing="1" w:after="240"/>
        <w:ind w:left="714" w:hanging="357"/>
        <w:contextualSpacing w:val="0"/>
        <w:jc w:val="both"/>
        <w:outlineLvl w:val="0"/>
        <w:rPr>
          <w:rFonts w:eastAsia="Times New Roman" w:cs="Arial"/>
          <w:color w:val="3B3B3B"/>
          <w:kern w:val="36"/>
          <w:sz w:val="18"/>
          <w:lang w:val="en-GB" w:eastAsia="fr-BE"/>
        </w:rPr>
      </w:pPr>
      <w:r w:rsidRPr="00511CF9">
        <w:rPr>
          <w:rFonts w:eastAsia="Times New Roman" w:cs="Arial"/>
          <w:color w:val="3B3B3B"/>
          <w:kern w:val="36"/>
          <w:sz w:val="18"/>
          <w:lang w:val="en-GB" w:eastAsia="fr-BE"/>
        </w:rPr>
        <w:t>4. Cui X et al. D-galactose-caused life shortening in Drosophila melanogaster and Musca domestica is associated with oxidative stress.</w:t>
      </w:r>
      <w:r w:rsidRPr="00511CF9">
        <w:rPr>
          <w:rFonts w:eastAsia="Times New Roman"/>
          <w:kern w:val="36"/>
          <w:sz w:val="18"/>
          <w:lang w:val="en-GB" w:eastAsia="fr-BE"/>
        </w:rPr>
        <w:t> </w:t>
      </w:r>
      <w:r w:rsidRPr="00511CF9">
        <w:rPr>
          <w:rFonts w:eastAsia="Times New Roman"/>
          <w:i/>
          <w:iCs/>
          <w:kern w:val="36"/>
          <w:sz w:val="18"/>
          <w:lang w:val="en-GB" w:eastAsia="fr-BE"/>
        </w:rPr>
        <w:t>Biogerontology,</w:t>
      </w:r>
      <w:r w:rsidRPr="00511CF9">
        <w:rPr>
          <w:rFonts w:eastAsia="Times New Roman"/>
          <w:kern w:val="36"/>
          <w:sz w:val="18"/>
          <w:lang w:val="en-GB" w:eastAsia="fr-BE"/>
        </w:rPr>
        <w:t> </w:t>
      </w:r>
      <w:r w:rsidRPr="00511CF9">
        <w:rPr>
          <w:rFonts w:eastAsia="Times New Roman" w:cs="Arial"/>
          <w:color w:val="3B3B3B"/>
          <w:kern w:val="36"/>
          <w:sz w:val="18"/>
          <w:lang w:val="en-GB" w:eastAsia="fr-BE"/>
        </w:rPr>
        <w:t>2004; 5: 317-25</w:t>
      </w:r>
    </w:p>
    <w:p w:rsidR="00511CF9" w:rsidRPr="00511CF9" w:rsidRDefault="00511CF9" w:rsidP="008D6017">
      <w:pPr>
        <w:pStyle w:val="Paragraphedeliste"/>
        <w:numPr>
          <w:ilvl w:val="0"/>
          <w:numId w:val="4"/>
        </w:numPr>
        <w:spacing w:before="100" w:beforeAutospacing="1" w:after="240"/>
        <w:ind w:left="714" w:hanging="357"/>
        <w:contextualSpacing w:val="0"/>
        <w:jc w:val="both"/>
        <w:outlineLvl w:val="0"/>
        <w:rPr>
          <w:rFonts w:eastAsia="Times New Roman" w:cs="Arial"/>
          <w:color w:val="3B3B3B"/>
          <w:kern w:val="36"/>
          <w:sz w:val="18"/>
          <w:lang w:val="en-GB" w:eastAsia="fr-BE"/>
        </w:rPr>
      </w:pPr>
      <w:r w:rsidRPr="00511CF9">
        <w:rPr>
          <w:rFonts w:eastAsia="Times New Roman" w:cs="Arial"/>
          <w:color w:val="3B3B3B"/>
          <w:kern w:val="36"/>
          <w:sz w:val="18"/>
          <w:lang w:val="en-GB" w:eastAsia="fr-BE"/>
        </w:rPr>
        <w:t>5. </w:t>
      </w:r>
      <w:r w:rsidR="00E9033F">
        <w:fldChar w:fldCharType="begin"/>
      </w:r>
      <w:r w:rsidR="00E9033F">
        <w:instrText>HYPERLINK "http://www.ncbi.nlm.nih.gov/pubmed/?term=Melnik%20BC%5BAuthor%5D&amp;cauthor=true&amp;cauthor_uid=25587719"</w:instrText>
      </w:r>
      <w:r w:rsidR="00E9033F">
        <w:fldChar w:fldCharType="separate"/>
      </w:r>
      <w:r w:rsidRPr="00511CF9">
        <w:rPr>
          <w:rFonts w:eastAsia="Times New Roman"/>
          <w:color w:val="3B3B3B"/>
          <w:kern w:val="36"/>
          <w:sz w:val="18"/>
          <w:lang w:val="en-GB" w:eastAsia="fr-BE"/>
        </w:rPr>
        <w:t>Melnik BC</w:t>
      </w:r>
      <w:r w:rsidR="00E9033F">
        <w:fldChar w:fldCharType="end"/>
      </w:r>
      <w:r w:rsidRPr="00511CF9">
        <w:rPr>
          <w:rFonts w:eastAsia="Times New Roman"/>
          <w:kern w:val="36"/>
          <w:sz w:val="18"/>
          <w:lang w:val="en-GB" w:eastAsia="fr-BE"/>
        </w:rPr>
        <w:t> </w:t>
      </w:r>
      <w:r w:rsidRPr="00511CF9">
        <w:rPr>
          <w:rFonts w:eastAsia="Times New Roman" w:cs="Arial"/>
          <w:color w:val="3B3B3B"/>
          <w:kern w:val="36"/>
          <w:sz w:val="18"/>
          <w:lang w:val="en-GB" w:eastAsia="fr-BE"/>
        </w:rPr>
        <w:t>et al, The Pathogenic Role of Persistent Milk Signaling in mTORC1- and Milk-MicroRNA-Driven Type 2 Diabetes Mellitus, </w:t>
      </w:r>
      <w:r w:rsidRPr="00511CF9">
        <w:rPr>
          <w:rFonts w:eastAsia="Times New Roman"/>
          <w:i/>
          <w:iCs/>
          <w:kern w:val="36"/>
          <w:sz w:val="18"/>
          <w:lang w:val="en-GB" w:eastAsia="fr-BE"/>
        </w:rPr>
        <w:t>Curr Diabetes Rev,</w:t>
      </w:r>
      <w:r w:rsidRPr="00511CF9">
        <w:rPr>
          <w:rFonts w:eastAsia="Times New Roman"/>
          <w:kern w:val="36"/>
          <w:sz w:val="18"/>
          <w:lang w:val="en-GB" w:eastAsia="fr-BE"/>
        </w:rPr>
        <w:t> </w:t>
      </w:r>
      <w:r w:rsidRPr="00511CF9">
        <w:rPr>
          <w:rFonts w:eastAsia="Times New Roman" w:cs="Arial"/>
          <w:color w:val="3B3B3B"/>
          <w:kern w:val="36"/>
          <w:sz w:val="18"/>
          <w:lang w:val="en-GB" w:eastAsia="fr-BE"/>
        </w:rPr>
        <w:t>2015 Jan 13</w:t>
      </w:r>
    </w:p>
    <w:p w:rsidR="00511CF9" w:rsidRPr="00511CF9" w:rsidRDefault="00511CF9" w:rsidP="008D6017">
      <w:pPr>
        <w:pStyle w:val="Paragraphedeliste"/>
        <w:numPr>
          <w:ilvl w:val="0"/>
          <w:numId w:val="4"/>
        </w:numPr>
        <w:spacing w:before="100" w:beforeAutospacing="1" w:after="240"/>
        <w:ind w:left="714" w:hanging="357"/>
        <w:contextualSpacing w:val="0"/>
        <w:jc w:val="both"/>
        <w:outlineLvl w:val="0"/>
        <w:rPr>
          <w:rFonts w:eastAsia="Times New Roman" w:cs="Arial"/>
          <w:color w:val="3B3B3B"/>
          <w:kern w:val="36"/>
          <w:sz w:val="18"/>
          <w:lang w:val="en-GB" w:eastAsia="fr-BE"/>
        </w:rPr>
      </w:pPr>
      <w:r w:rsidRPr="00511CF9">
        <w:rPr>
          <w:rFonts w:eastAsia="Times New Roman" w:cs="Arial"/>
          <w:color w:val="3B3B3B"/>
          <w:kern w:val="36"/>
          <w:sz w:val="18"/>
          <w:lang w:val="en-GB" w:eastAsia="fr-BE"/>
        </w:rPr>
        <w:t>6. </w:t>
      </w:r>
      <w:r w:rsidR="00E9033F">
        <w:fldChar w:fldCharType="begin"/>
      </w:r>
      <w:r w:rsidR="00E9033F">
        <w:instrText>HYPERLINK "http://www.ncbi.nlm.nih.gov/pubmed?term=Qin%20LQ%5BAuthor%5D&amp;cauthor=true&amp;cauthor_uid=19746296" \l "_blank"</w:instrText>
      </w:r>
      <w:r w:rsidR="00E9033F">
        <w:fldChar w:fldCharType="separate"/>
      </w:r>
      <w:r w:rsidRPr="00511CF9">
        <w:rPr>
          <w:rFonts w:eastAsia="Times New Roman"/>
          <w:color w:val="3B3B3B"/>
          <w:kern w:val="36"/>
          <w:sz w:val="18"/>
          <w:lang w:val="en-GB" w:eastAsia="fr-BE"/>
        </w:rPr>
        <w:t>Qin LQ</w:t>
      </w:r>
      <w:r w:rsidR="00E9033F">
        <w:fldChar w:fldCharType="end"/>
      </w:r>
      <w:r w:rsidRPr="00511CF9">
        <w:rPr>
          <w:rFonts w:eastAsia="Times New Roman"/>
          <w:kern w:val="36"/>
          <w:sz w:val="18"/>
          <w:lang w:val="en-GB" w:eastAsia="fr-BE"/>
        </w:rPr>
        <w:t> </w:t>
      </w:r>
      <w:r w:rsidRPr="00511CF9">
        <w:rPr>
          <w:rFonts w:eastAsia="Times New Roman" w:cs="Arial"/>
          <w:color w:val="3B3B3B"/>
          <w:kern w:val="36"/>
          <w:sz w:val="18"/>
          <w:lang w:val="en-GB" w:eastAsia="fr-BE"/>
        </w:rPr>
        <w:t>et al, Milk consumption and circulating insulin-like growth factor-I level: a systematic literature review, Int J Food Sci Nutr, 2009 ; 60 Suppl 7 : 330-40</w:t>
      </w:r>
    </w:p>
    <w:p w:rsidR="00511CF9" w:rsidRPr="00511CF9" w:rsidRDefault="00511CF9" w:rsidP="008D6017">
      <w:pPr>
        <w:pStyle w:val="Paragraphedeliste"/>
        <w:numPr>
          <w:ilvl w:val="0"/>
          <w:numId w:val="4"/>
        </w:numPr>
        <w:spacing w:before="100" w:beforeAutospacing="1" w:after="240"/>
        <w:ind w:left="714" w:hanging="357"/>
        <w:contextualSpacing w:val="0"/>
        <w:jc w:val="both"/>
        <w:outlineLvl w:val="0"/>
        <w:rPr>
          <w:rFonts w:eastAsia="Times New Roman" w:cs="Arial"/>
          <w:color w:val="3B3B3B"/>
          <w:kern w:val="36"/>
          <w:sz w:val="18"/>
          <w:lang w:val="en-GB" w:eastAsia="fr-BE"/>
        </w:rPr>
      </w:pPr>
      <w:r w:rsidRPr="00511CF9">
        <w:rPr>
          <w:rFonts w:eastAsia="Times New Roman" w:cs="Arial"/>
          <w:color w:val="3B3B3B"/>
          <w:kern w:val="36"/>
          <w:sz w:val="18"/>
          <w:lang w:val="en-GB" w:eastAsia="fr-BE"/>
        </w:rPr>
        <w:t>7. </w:t>
      </w:r>
      <w:r w:rsidR="00E9033F">
        <w:fldChar w:fldCharType="begin"/>
      </w:r>
      <w:r w:rsidR="00E9033F">
        <w:instrText>HYPERLINK "http://www.ncbi.nlm.nih.gov/pubmed/?term=Melnik%20BC%5Bauth%5D"</w:instrText>
      </w:r>
      <w:r w:rsidR="00E9033F">
        <w:fldChar w:fldCharType="separate"/>
      </w:r>
      <w:r w:rsidRPr="00511CF9">
        <w:rPr>
          <w:rFonts w:eastAsia="Times New Roman"/>
          <w:color w:val="3B3B3B"/>
          <w:kern w:val="36"/>
          <w:sz w:val="18"/>
          <w:lang w:val="en-GB" w:eastAsia="fr-BE"/>
        </w:rPr>
        <w:t>Bodo C Melnik</w:t>
      </w:r>
      <w:r w:rsidR="00E9033F">
        <w:fldChar w:fldCharType="end"/>
      </w:r>
      <w:r w:rsidRPr="00511CF9">
        <w:rPr>
          <w:rFonts w:eastAsia="Times New Roman"/>
          <w:kern w:val="36"/>
          <w:sz w:val="18"/>
          <w:lang w:val="en-GB" w:eastAsia="fr-BE"/>
        </w:rPr>
        <w:t> </w:t>
      </w:r>
      <w:r w:rsidRPr="00511CF9">
        <w:rPr>
          <w:rFonts w:eastAsia="Times New Roman" w:cs="Arial"/>
          <w:color w:val="3B3B3B"/>
          <w:kern w:val="36"/>
          <w:sz w:val="18"/>
          <w:lang w:val="en-GB" w:eastAsia="fr-BE"/>
        </w:rPr>
        <w:t>et al, The impact of cow’s milk-mediated mTORC1-signaling in the initiation and progression of prostate cancer,</w:t>
      </w:r>
      <w:r w:rsidRPr="00511CF9">
        <w:rPr>
          <w:rFonts w:eastAsia="Times New Roman"/>
          <w:kern w:val="36"/>
          <w:sz w:val="18"/>
          <w:lang w:val="en-GB" w:eastAsia="fr-BE"/>
        </w:rPr>
        <w:t> </w:t>
      </w:r>
      <w:r w:rsidRPr="00511CF9">
        <w:rPr>
          <w:rFonts w:eastAsia="Times New Roman"/>
          <w:i/>
          <w:iCs/>
          <w:kern w:val="36"/>
          <w:sz w:val="18"/>
          <w:lang w:val="en-GB" w:eastAsia="fr-BE"/>
        </w:rPr>
        <w:t>Nutr Metab (Lond),</w:t>
      </w:r>
      <w:r w:rsidRPr="00511CF9">
        <w:rPr>
          <w:rFonts w:eastAsia="Times New Roman"/>
          <w:kern w:val="36"/>
          <w:sz w:val="18"/>
          <w:lang w:val="en-GB" w:eastAsia="fr-BE"/>
        </w:rPr>
        <w:t> </w:t>
      </w:r>
      <w:r w:rsidRPr="00511CF9">
        <w:rPr>
          <w:rFonts w:eastAsia="Times New Roman" w:cs="Arial"/>
          <w:color w:val="3B3B3B"/>
          <w:kern w:val="36"/>
          <w:sz w:val="18"/>
          <w:lang w:val="en-GB" w:eastAsia="fr-BE"/>
        </w:rPr>
        <w:t>2012; 9: 74</w:t>
      </w:r>
    </w:p>
    <w:p w:rsidR="00511CF9" w:rsidRPr="00511CF9" w:rsidRDefault="00511CF9" w:rsidP="008D6017">
      <w:pPr>
        <w:pStyle w:val="Paragraphedeliste"/>
        <w:numPr>
          <w:ilvl w:val="0"/>
          <w:numId w:val="4"/>
        </w:numPr>
        <w:spacing w:before="100" w:beforeAutospacing="1" w:after="240"/>
        <w:ind w:left="714" w:hanging="357"/>
        <w:contextualSpacing w:val="0"/>
        <w:jc w:val="both"/>
        <w:outlineLvl w:val="0"/>
        <w:rPr>
          <w:rFonts w:eastAsia="Times New Roman" w:cs="Arial"/>
          <w:color w:val="3B3B3B"/>
          <w:kern w:val="36"/>
          <w:sz w:val="18"/>
          <w:lang w:val="en-GB" w:eastAsia="fr-BE"/>
        </w:rPr>
      </w:pPr>
      <w:r w:rsidRPr="00511CF9">
        <w:rPr>
          <w:rFonts w:eastAsia="Times New Roman" w:cs="Arial"/>
          <w:color w:val="3B3B3B"/>
          <w:kern w:val="36"/>
          <w:sz w:val="18"/>
          <w:lang w:val="en-GB" w:eastAsia="fr-BE"/>
        </w:rPr>
        <w:t>8. </w:t>
      </w:r>
      <w:r w:rsidR="00E9033F">
        <w:fldChar w:fldCharType="begin"/>
      </w:r>
      <w:r w:rsidR="00E9033F">
        <w:instrText>HYPERLINK "http://www.ncbi.nlm.nih.gov/pubmed/?term=Wahlberg%20J%5BAuthor%5D&amp;cauthor=true&amp;cauthor_uid=16578935"</w:instrText>
      </w:r>
      <w:r w:rsidR="00E9033F">
        <w:fldChar w:fldCharType="separate"/>
      </w:r>
      <w:r w:rsidRPr="00511CF9">
        <w:rPr>
          <w:rFonts w:eastAsia="Times New Roman"/>
          <w:color w:val="3B3B3B"/>
          <w:kern w:val="36"/>
          <w:sz w:val="18"/>
          <w:lang w:val="en-GB" w:eastAsia="fr-BE"/>
        </w:rPr>
        <w:t>Wahlberg J</w:t>
      </w:r>
      <w:r w:rsidR="00E9033F">
        <w:fldChar w:fldCharType="end"/>
      </w:r>
      <w:r w:rsidRPr="00511CF9">
        <w:rPr>
          <w:rFonts w:eastAsia="Times New Roman"/>
          <w:kern w:val="36"/>
          <w:sz w:val="18"/>
          <w:lang w:val="en-GB" w:eastAsia="fr-BE"/>
        </w:rPr>
        <w:t> </w:t>
      </w:r>
      <w:r w:rsidRPr="00511CF9">
        <w:rPr>
          <w:rFonts w:eastAsia="Times New Roman" w:cs="Arial"/>
          <w:color w:val="3B3B3B"/>
          <w:kern w:val="36"/>
          <w:sz w:val="18"/>
          <w:lang w:val="en-GB" w:eastAsia="fr-BE"/>
        </w:rPr>
        <w:t>et al, Dietary risk factors for the emergence of type 1 diabetes-related autoantibodies in 21/2 year-old Swedish children, </w:t>
      </w:r>
      <w:r w:rsidRPr="00511CF9">
        <w:rPr>
          <w:rFonts w:eastAsia="Times New Roman"/>
          <w:i/>
          <w:iCs/>
          <w:kern w:val="36"/>
          <w:sz w:val="18"/>
          <w:lang w:val="en-GB" w:eastAsia="fr-BE"/>
        </w:rPr>
        <w:t>Br J Nutr,</w:t>
      </w:r>
      <w:r w:rsidRPr="00511CF9">
        <w:rPr>
          <w:rFonts w:eastAsia="Times New Roman"/>
          <w:kern w:val="36"/>
          <w:sz w:val="18"/>
          <w:lang w:val="en-GB" w:eastAsia="fr-BE"/>
        </w:rPr>
        <w:t> </w:t>
      </w:r>
      <w:r w:rsidRPr="00511CF9">
        <w:rPr>
          <w:rFonts w:eastAsia="Times New Roman" w:cs="Arial"/>
          <w:color w:val="3B3B3B"/>
          <w:kern w:val="36"/>
          <w:sz w:val="18"/>
          <w:lang w:val="en-GB" w:eastAsia="fr-BE"/>
        </w:rPr>
        <w:t>2006 ; 95 (3) : 603-8</w:t>
      </w:r>
    </w:p>
    <w:p w:rsidR="00511CF9" w:rsidRPr="00511CF9" w:rsidRDefault="00511CF9" w:rsidP="008D6017">
      <w:pPr>
        <w:pStyle w:val="Paragraphedeliste"/>
        <w:numPr>
          <w:ilvl w:val="0"/>
          <w:numId w:val="4"/>
        </w:numPr>
        <w:spacing w:before="100" w:beforeAutospacing="1" w:after="240"/>
        <w:ind w:left="714" w:hanging="357"/>
        <w:contextualSpacing w:val="0"/>
        <w:jc w:val="both"/>
        <w:outlineLvl w:val="0"/>
        <w:rPr>
          <w:rFonts w:eastAsia="Times New Roman" w:cs="Arial"/>
          <w:color w:val="3B3B3B"/>
          <w:kern w:val="36"/>
          <w:sz w:val="18"/>
          <w:lang w:val="en-GB" w:eastAsia="fr-BE"/>
        </w:rPr>
      </w:pPr>
      <w:r w:rsidRPr="00511CF9">
        <w:rPr>
          <w:rFonts w:eastAsia="Times New Roman" w:cs="Arial"/>
          <w:color w:val="3B3B3B"/>
          <w:kern w:val="36"/>
          <w:sz w:val="18"/>
          <w:lang w:val="en-GB" w:eastAsia="fr-BE"/>
        </w:rPr>
        <w:t>9. </w:t>
      </w:r>
      <w:r w:rsidR="00E9033F">
        <w:fldChar w:fldCharType="begin"/>
      </w:r>
      <w:r w:rsidR="00E9033F">
        <w:instrText>HYPERLINK "http://www.ncbi.nlm.nih.gov/pubmed/?term=Rosenbauer%20J%5BAuthor%5D&amp;cauthor=true&amp;cauthor_uid=17853333"</w:instrText>
      </w:r>
      <w:r w:rsidR="00E9033F">
        <w:fldChar w:fldCharType="separate"/>
      </w:r>
      <w:r w:rsidRPr="00511CF9">
        <w:rPr>
          <w:rFonts w:eastAsia="Times New Roman"/>
          <w:color w:val="3B3B3B"/>
          <w:kern w:val="36"/>
          <w:sz w:val="18"/>
          <w:lang w:val="en-GB" w:eastAsia="fr-BE"/>
        </w:rPr>
        <w:t>Rosenbauer J</w:t>
      </w:r>
      <w:r w:rsidR="00E9033F">
        <w:fldChar w:fldCharType="end"/>
      </w:r>
      <w:r w:rsidRPr="00511CF9">
        <w:rPr>
          <w:rFonts w:eastAsia="Times New Roman"/>
          <w:kern w:val="36"/>
          <w:sz w:val="18"/>
          <w:lang w:val="en-GB" w:eastAsia="fr-BE"/>
        </w:rPr>
        <w:t> </w:t>
      </w:r>
      <w:r w:rsidRPr="00511CF9">
        <w:rPr>
          <w:rFonts w:eastAsia="Times New Roman" w:cs="Arial"/>
          <w:color w:val="3B3B3B"/>
          <w:kern w:val="36"/>
          <w:sz w:val="18"/>
          <w:lang w:val="en-GB" w:eastAsia="fr-BE"/>
        </w:rPr>
        <w:t>et al, Early nutrition and risk of Type 1 diabetes mellitus – a nationwide case-control study in preschool children, </w:t>
      </w:r>
      <w:r w:rsidRPr="00511CF9">
        <w:rPr>
          <w:rFonts w:eastAsia="Times New Roman"/>
          <w:i/>
          <w:iCs/>
          <w:kern w:val="36"/>
          <w:sz w:val="18"/>
          <w:lang w:val="en-GB" w:eastAsia="fr-BE"/>
        </w:rPr>
        <w:t>Exp Clin Endocrinol Diabetes,</w:t>
      </w:r>
      <w:r w:rsidRPr="00511CF9">
        <w:rPr>
          <w:rFonts w:eastAsia="Times New Roman"/>
          <w:kern w:val="36"/>
          <w:sz w:val="18"/>
          <w:lang w:val="en-GB" w:eastAsia="fr-BE"/>
        </w:rPr>
        <w:t> </w:t>
      </w:r>
      <w:r w:rsidRPr="00511CF9">
        <w:rPr>
          <w:rFonts w:eastAsia="Times New Roman" w:cs="Arial"/>
          <w:color w:val="3B3B3B"/>
          <w:kern w:val="36"/>
          <w:sz w:val="18"/>
          <w:lang w:val="en-GB" w:eastAsia="fr-BE"/>
        </w:rPr>
        <w:t>2007 ; 115 (8) : 502-8</w:t>
      </w:r>
    </w:p>
    <w:p w:rsidR="00511CF9" w:rsidRPr="00511CF9" w:rsidRDefault="00511CF9" w:rsidP="008D6017">
      <w:pPr>
        <w:pStyle w:val="Paragraphedeliste"/>
        <w:numPr>
          <w:ilvl w:val="0"/>
          <w:numId w:val="4"/>
        </w:numPr>
        <w:spacing w:before="100" w:beforeAutospacing="1" w:after="240"/>
        <w:ind w:left="714" w:hanging="357"/>
        <w:contextualSpacing w:val="0"/>
        <w:jc w:val="both"/>
        <w:outlineLvl w:val="0"/>
        <w:rPr>
          <w:rFonts w:eastAsia="Times New Roman" w:cs="Arial"/>
          <w:color w:val="3B3B3B"/>
          <w:kern w:val="36"/>
          <w:sz w:val="18"/>
          <w:lang w:val="en-GB" w:eastAsia="fr-BE"/>
        </w:rPr>
      </w:pPr>
      <w:r w:rsidRPr="00511CF9">
        <w:rPr>
          <w:rFonts w:eastAsia="Times New Roman" w:cs="Arial"/>
          <w:color w:val="3B3B3B"/>
          <w:kern w:val="36"/>
          <w:sz w:val="18"/>
          <w:lang w:val="en-GB" w:eastAsia="fr-BE"/>
        </w:rPr>
        <w:t>10.Ganmaa D et al, The experience of Japan as a clue to the etiology of testicular and prostatic cancers,</w:t>
      </w:r>
      <w:r w:rsidRPr="00511CF9">
        <w:rPr>
          <w:rFonts w:eastAsia="Times New Roman"/>
          <w:kern w:val="36"/>
          <w:sz w:val="18"/>
          <w:lang w:val="en-GB" w:eastAsia="fr-BE"/>
        </w:rPr>
        <w:t> </w:t>
      </w:r>
      <w:r w:rsidRPr="00511CF9">
        <w:rPr>
          <w:rFonts w:eastAsia="Times New Roman"/>
          <w:i/>
          <w:iCs/>
          <w:kern w:val="36"/>
          <w:sz w:val="18"/>
          <w:lang w:val="en-GB" w:eastAsia="fr-BE"/>
        </w:rPr>
        <w:t>Med Hypotheses,</w:t>
      </w:r>
      <w:r w:rsidRPr="00511CF9">
        <w:rPr>
          <w:rFonts w:eastAsia="Times New Roman"/>
          <w:kern w:val="36"/>
          <w:sz w:val="18"/>
          <w:lang w:val="en-GB" w:eastAsia="fr-BE"/>
        </w:rPr>
        <w:t> </w:t>
      </w:r>
      <w:r w:rsidRPr="00511CF9">
        <w:rPr>
          <w:rFonts w:eastAsia="Times New Roman" w:cs="Arial"/>
          <w:color w:val="3B3B3B"/>
          <w:kern w:val="36"/>
          <w:sz w:val="18"/>
          <w:lang w:val="en-GB" w:eastAsia="fr-BE"/>
        </w:rPr>
        <w:t>2003 ; 60 (5) : 724-30</w:t>
      </w:r>
    </w:p>
    <w:p w:rsidR="00511CF9" w:rsidRPr="00511CF9" w:rsidRDefault="00511CF9" w:rsidP="008D6017">
      <w:pPr>
        <w:pStyle w:val="Paragraphedeliste"/>
        <w:numPr>
          <w:ilvl w:val="0"/>
          <w:numId w:val="4"/>
        </w:numPr>
        <w:spacing w:before="100" w:beforeAutospacing="1" w:after="240"/>
        <w:ind w:left="714" w:hanging="357"/>
        <w:contextualSpacing w:val="0"/>
        <w:jc w:val="both"/>
        <w:outlineLvl w:val="0"/>
        <w:rPr>
          <w:rFonts w:eastAsia="Times New Roman" w:cs="Arial"/>
          <w:color w:val="3B3B3B"/>
          <w:kern w:val="36"/>
          <w:sz w:val="18"/>
          <w:lang w:val="en-GB" w:eastAsia="fr-BE"/>
        </w:rPr>
      </w:pPr>
      <w:r w:rsidRPr="00511CF9">
        <w:rPr>
          <w:rFonts w:eastAsia="Times New Roman" w:cs="Arial"/>
          <w:color w:val="3B3B3B"/>
          <w:kern w:val="36"/>
          <w:sz w:val="18"/>
          <w:lang w:val="en-GB" w:eastAsia="fr-BE"/>
        </w:rPr>
        <w:t>11.</w:t>
      </w:r>
      <w:r w:rsidRPr="00511CF9">
        <w:rPr>
          <w:rFonts w:eastAsia="Times New Roman"/>
          <w:kern w:val="36"/>
          <w:sz w:val="18"/>
          <w:lang w:val="en-GB" w:eastAsia="fr-BE"/>
        </w:rPr>
        <w:t> </w:t>
      </w:r>
      <w:hyperlink r:id="rId55" w:history="1">
        <w:r w:rsidRPr="00511CF9">
          <w:rPr>
            <w:rFonts w:eastAsia="Times New Roman"/>
            <w:color w:val="3B3B3B"/>
            <w:kern w:val="36"/>
            <w:sz w:val="18"/>
            <w:lang w:val="en-GB" w:eastAsia="fr-BE"/>
          </w:rPr>
          <w:t>Allen NE</w:t>
        </w:r>
      </w:hyperlink>
      <w:r w:rsidRPr="00511CF9">
        <w:rPr>
          <w:rFonts w:eastAsia="Times New Roman"/>
          <w:kern w:val="36"/>
          <w:sz w:val="18"/>
          <w:lang w:val="en-GB" w:eastAsia="fr-BE"/>
        </w:rPr>
        <w:t> </w:t>
      </w:r>
      <w:r w:rsidRPr="00511CF9">
        <w:rPr>
          <w:rFonts w:eastAsia="Times New Roman" w:cs="Arial"/>
          <w:color w:val="3B3B3B"/>
          <w:kern w:val="36"/>
          <w:sz w:val="18"/>
          <w:lang w:val="en-GB" w:eastAsia="fr-BE"/>
        </w:rPr>
        <w:t>et al, Animal foods, protein, calcium and prostate cancer risk : the European Prospective Investigation into Cancer and Nutrition, </w:t>
      </w:r>
      <w:r w:rsidRPr="00511CF9">
        <w:rPr>
          <w:rFonts w:eastAsia="Times New Roman"/>
          <w:i/>
          <w:iCs/>
          <w:kern w:val="36"/>
          <w:sz w:val="18"/>
          <w:lang w:val="en-GB" w:eastAsia="fr-BE"/>
        </w:rPr>
        <w:t>Br J Cancer,</w:t>
      </w:r>
      <w:r w:rsidRPr="00511CF9">
        <w:rPr>
          <w:rFonts w:eastAsia="Times New Roman"/>
          <w:kern w:val="36"/>
          <w:sz w:val="18"/>
          <w:lang w:val="en-GB" w:eastAsia="fr-BE"/>
        </w:rPr>
        <w:t> </w:t>
      </w:r>
      <w:r w:rsidRPr="00511CF9">
        <w:rPr>
          <w:rFonts w:eastAsia="Times New Roman" w:cs="Arial"/>
          <w:color w:val="3B3B3B"/>
          <w:kern w:val="36"/>
          <w:sz w:val="18"/>
          <w:lang w:val="en-GB" w:eastAsia="fr-BE"/>
        </w:rPr>
        <w:t>2008 ; 98 (9) : 1574-81</w:t>
      </w:r>
    </w:p>
    <w:p w:rsidR="00511CF9" w:rsidRPr="00511CF9" w:rsidRDefault="00511CF9" w:rsidP="008D6017">
      <w:pPr>
        <w:pStyle w:val="Paragraphedeliste"/>
        <w:numPr>
          <w:ilvl w:val="0"/>
          <w:numId w:val="4"/>
        </w:numPr>
        <w:spacing w:before="100" w:beforeAutospacing="1" w:after="240"/>
        <w:ind w:left="714" w:hanging="357"/>
        <w:contextualSpacing w:val="0"/>
        <w:jc w:val="both"/>
        <w:outlineLvl w:val="0"/>
        <w:rPr>
          <w:rFonts w:eastAsia="Times New Roman" w:cs="Arial"/>
          <w:color w:val="3B3B3B"/>
          <w:kern w:val="36"/>
          <w:sz w:val="18"/>
          <w:lang w:val="en-GB" w:eastAsia="fr-BE"/>
        </w:rPr>
      </w:pPr>
      <w:r w:rsidRPr="00511CF9">
        <w:rPr>
          <w:rFonts w:eastAsia="Times New Roman" w:cs="Arial"/>
          <w:color w:val="3B3B3B"/>
          <w:kern w:val="36"/>
          <w:sz w:val="18"/>
          <w:lang w:val="en-GB" w:eastAsia="fr-BE"/>
        </w:rPr>
        <w:t> 12. </w:t>
      </w:r>
      <w:r w:rsidR="00E9033F">
        <w:fldChar w:fldCharType="begin"/>
      </w:r>
      <w:r w:rsidR="00E9033F">
        <w:instrText>HYPERLINK "http://www.ncbi.nlm.nih.gov/pubmed/?term=Aune%20D%5BAuthor%5D&amp;cauthor=true&amp;cauthor_uid=25527754"</w:instrText>
      </w:r>
      <w:r w:rsidR="00E9033F">
        <w:fldChar w:fldCharType="separate"/>
      </w:r>
      <w:r w:rsidRPr="00511CF9">
        <w:rPr>
          <w:rFonts w:eastAsia="Times New Roman"/>
          <w:color w:val="3B3B3B"/>
          <w:kern w:val="36"/>
          <w:sz w:val="18"/>
          <w:lang w:val="en-GB" w:eastAsia="fr-BE"/>
        </w:rPr>
        <w:t>Aune D</w:t>
      </w:r>
      <w:r w:rsidR="00E9033F">
        <w:fldChar w:fldCharType="end"/>
      </w:r>
      <w:r w:rsidRPr="00511CF9">
        <w:rPr>
          <w:rFonts w:eastAsia="Times New Roman"/>
          <w:kern w:val="36"/>
          <w:sz w:val="18"/>
          <w:lang w:val="en-GB" w:eastAsia="fr-BE"/>
        </w:rPr>
        <w:t> </w:t>
      </w:r>
      <w:r w:rsidRPr="00511CF9">
        <w:rPr>
          <w:rFonts w:eastAsia="Times New Roman" w:cs="Arial"/>
          <w:color w:val="3B3B3B"/>
          <w:kern w:val="36"/>
          <w:sz w:val="18"/>
          <w:lang w:val="en-GB" w:eastAsia="fr-BE"/>
        </w:rPr>
        <w:t>et al, Dairy products, calcium, and prost</w:t>
      </w:r>
      <w:r w:rsidR="00435AA0">
        <w:rPr>
          <w:rFonts w:eastAsia="Times New Roman" w:cs="Arial"/>
          <w:color w:val="3B3B3B"/>
          <w:kern w:val="36"/>
          <w:sz w:val="18"/>
          <w:lang w:val="en-GB" w:eastAsia="fr-BE"/>
        </w:rPr>
        <w:t>ate cancer risk : </w:t>
      </w:r>
      <w:r w:rsidRPr="00511CF9">
        <w:rPr>
          <w:rFonts w:eastAsia="Times New Roman" w:cs="Arial"/>
          <w:color w:val="3B3B3B"/>
          <w:kern w:val="36"/>
          <w:sz w:val="18"/>
          <w:lang w:val="en-GB" w:eastAsia="fr-BE"/>
        </w:rPr>
        <w:t>a systematic review and meta-analysis of cohort studies, </w:t>
      </w:r>
      <w:r w:rsidRPr="00511CF9">
        <w:rPr>
          <w:rFonts w:eastAsia="Times New Roman"/>
          <w:i/>
          <w:iCs/>
          <w:kern w:val="36"/>
          <w:sz w:val="18"/>
          <w:lang w:val="en-GB" w:eastAsia="fr-BE"/>
        </w:rPr>
        <w:t>Am J Clin Nutr,</w:t>
      </w:r>
      <w:r w:rsidRPr="00511CF9">
        <w:rPr>
          <w:rFonts w:eastAsia="Times New Roman"/>
          <w:kern w:val="36"/>
          <w:sz w:val="18"/>
          <w:lang w:val="en-GB" w:eastAsia="fr-BE"/>
        </w:rPr>
        <w:t> </w:t>
      </w:r>
      <w:r w:rsidRPr="00511CF9">
        <w:rPr>
          <w:rFonts w:eastAsia="Times New Roman" w:cs="Arial"/>
          <w:color w:val="3B3B3B"/>
          <w:kern w:val="36"/>
          <w:sz w:val="18"/>
          <w:lang w:val="en-GB" w:eastAsia="fr-BE"/>
        </w:rPr>
        <w:t>2015 Jan ; 101 (1) : 87-117 19</w:t>
      </w:r>
    </w:p>
    <w:p w:rsidR="00511CF9" w:rsidRPr="00511CF9" w:rsidRDefault="00511CF9" w:rsidP="008D6017">
      <w:pPr>
        <w:pStyle w:val="Paragraphedeliste"/>
        <w:numPr>
          <w:ilvl w:val="0"/>
          <w:numId w:val="4"/>
        </w:numPr>
        <w:spacing w:before="100" w:beforeAutospacing="1" w:after="240"/>
        <w:ind w:left="714" w:hanging="357"/>
        <w:contextualSpacing w:val="0"/>
        <w:jc w:val="both"/>
        <w:outlineLvl w:val="0"/>
        <w:rPr>
          <w:rFonts w:eastAsia="Times New Roman" w:cs="Arial"/>
          <w:color w:val="3B3B3B"/>
          <w:kern w:val="36"/>
          <w:sz w:val="18"/>
          <w:lang w:val="en-GB" w:eastAsia="fr-BE"/>
        </w:rPr>
      </w:pPr>
      <w:r w:rsidRPr="00511CF9">
        <w:rPr>
          <w:rFonts w:eastAsia="Times New Roman" w:cs="Arial"/>
          <w:color w:val="3B3B3B"/>
          <w:kern w:val="36"/>
          <w:sz w:val="18"/>
          <w:lang w:val="en-GB" w:eastAsia="fr-BE"/>
        </w:rPr>
        <w:t>13. </w:t>
      </w:r>
      <w:r w:rsidR="00E9033F">
        <w:fldChar w:fldCharType="begin"/>
      </w:r>
      <w:r w:rsidR="00E9033F">
        <w:instrText>HYPERLINK "http://www.ncbi.nlm.nih.gov/pubmed/?term=Kroenke%20CH%5BAuthor%5D&amp;cauthor=true&amp;cauthor_uid=23492346"</w:instrText>
      </w:r>
      <w:r w:rsidR="00E9033F">
        <w:fldChar w:fldCharType="separate"/>
      </w:r>
      <w:r w:rsidRPr="00511CF9">
        <w:rPr>
          <w:rFonts w:eastAsia="Times New Roman"/>
          <w:color w:val="3B3B3B"/>
          <w:kern w:val="36"/>
          <w:sz w:val="18"/>
          <w:lang w:val="en-GB" w:eastAsia="fr-BE"/>
        </w:rPr>
        <w:t>Kroenke CH</w:t>
      </w:r>
      <w:r w:rsidR="00E9033F">
        <w:fldChar w:fldCharType="end"/>
      </w:r>
      <w:r w:rsidRPr="00511CF9">
        <w:rPr>
          <w:rFonts w:eastAsia="Times New Roman"/>
          <w:kern w:val="36"/>
          <w:sz w:val="18"/>
          <w:lang w:val="en-GB" w:eastAsia="fr-BE"/>
        </w:rPr>
        <w:t> </w:t>
      </w:r>
      <w:r w:rsidRPr="00511CF9">
        <w:rPr>
          <w:rFonts w:eastAsia="Times New Roman" w:cs="Arial"/>
          <w:color w:val="3B3B3B"/>
          <w:kern w:val="36"/>
          <w:sz w:val="18"/>
          <w:lang w:val="en-GB" w:eastAsia="fr-BE"/>
        </w:rPr>
        <w:t>et al, High- and low-fat dairy intake, recurrence, and mortality after breast cancer diagnosis,</w:t>
      </w:r>
      <w:r w:rsidRPr="00511CF9">
        <w:rPr>
          <w:rFonts w:eastAsia="Times New Roman"/>
          <w:kern w:val="36"/>
          <w:sz w:val="18"/>
          <w:lang w:val="en-GB" w:eastAsia="fr-BE"/>
        </w:rPr>
        <w:t> </w:t>
      </w:r>
      <w:r w:rsidRPr="00511CF9">
        <w:rPr>
          <w:rFonts w:eastAsia="Times New Roman"/>
          <w:i/>
          <w:iCs/>
          <w:kern w:val="36"/>
          <w:sz w:val="18"/>
          <w:lang w:val="en-GB" w:eastAsia="fr-BE"/>
        </w:rPr>
        <w:t>J Natl Cancer Inst, </w:t>
      </w:r>
      <w:r w:rsidRPr="00511CF9">
        <w:rPr>
          <w:rFonts w:eastAsia="Times New Roman" w:cs="Arial"/>
          <w:color w:val="3B3B3B"/>
          <w:kern w:val="36"/>
          <w:sz w:val="18"/>
          <w:lang w:val="en-GB" w:eastAsia="fr-BE"/>
        </w:rPr>
        <w:t>2013;105 (9) : 616-23</w:t>
      </w:r>
    </w:p>
    <w:p w:rsidR="00511CF9" w:rsidRPr="00511CF9" w:rsidRDefault="00511CF9" w:rsidP="008D6017">
      <w:pPr>
        <w:pStyle w:val="Paragraphedeliste"/>
        <w:numPr>
          <w:ilvl w:val="0"/>
          <w:numId w:val="4"/>
        </w:numPr>
        <w:spacing w:before="100" w:beforeAutospacing="1" w:after="240"/>
        <w:ind w:left="714" w:hanging="357"/>
        <w:contextualSpacing w:val="0"/>
        <w:jc w:val="both"/>
        <w:outlineLvl w:val="0"/>
        <w:rPr>
          <w:rFonts w:eastAsia="Times New Roman" w:cs="Arial"/>
          <w:color w:val="3B3B3B"/>
          <w:kern w:val="36"/>
          <w:sz w:val="18"/>
          <w:lang w:val="en-GB" w:eastAsia="fr-BE"/>
        </w:rPr>
      </w:pPr>
      <w:r w:rsidRPr="00511CF9">
        <w:rPr>
          <w:rFonts w:eastAsia="Times New Roman" w:cs="Arial"/>
          <w:color w:val="3B3B3B"/>
          <w:kern w:val="36"/>
          <w:sz w:val="18"/>
          <w:lang w:val="en-GB" w:eastAsia="fr-BE"/>
        </w:rPr>
        <w:t> 14. Karl Michaëlsson et al, Milk intake and risk of mortality and fractures in women and men : cohort studies;</w:t>
      </w:r>
      <w:r w:rsidRPr="00511CF9">
        <w:rPr>
          <w:rFonts w:eastAsia="Times New Roman"/>
          <w:kern w:val="36"/>
          <w:sz w:val="18"/>
          <w:lang w:val="en-GB" w:eastAsia="fr-BE"/>
        </w:rPr>
        <w:t> </w:t>
      </w:r>
      <w:r w:rsidRPr="00511CF9">
        <w:rPr>
          <w:rFonts w:eastAsia="Times New Roman"/>
          <w:i/>
          <w:iCs/>
          <w:kern w:val="36"/>
          <w:sz w:val="18"/>
          <w:lang w:val="en-GB" w:eastAsia="fr-BE"/>
        </w:rPr>
        <w:t>BMJ,</w:t>
      </w:r>
      <w:r w:rsidRPr="00511CF9">
        <w:rPr>
          <w:rFonts w:eastAsia="Times New Roman"/>
          <w:kern w:val="36"/>
          <w:sz w:val="18"/>
          <w:lang w:val="en-GB" w:eastAsia="fr-BE"/>
        </w:rPr>
        <w:t> </w:t>
      </w:r>
      <w:r w:rsidRPr="00511CF9">
        <w:rPr>
          <w:rFonts w:eastAsia="Times New Roman" w:cs="Arial"/>
          <w:color w:val="3B3B3B"/>
          <w:kern w:val="36"/>
          <w:sz w:val="18"/>
          <w:lang w:val="en-GB" w:eastAsia="fr-BE"/>
        </w:rPr>
        <w:t>2014; 349 : g6015</w:t>
      </w:r>
    </w:p>
    <w:p w:rsidR="00511CF9" w:rsidRPr="00511CF9" w:rsidRDefault="00511CF9" w:rsidP="008D6017">
      <w:pPr>
        <w:pStyle w:val="Paragraphedeliste"/>
        <w:numPr>
          <w:ilvl w:val="0"/>
          <w:numId w:val="4"/>
        </w:numPr>
        <w:spacing w:before="100" w:beforeAutospacing="1" w:after="240"/>
        <w:ind w:left="714" w:hanging="357"/>
        <w:contextualSpacing w:val="0"/>
        <w:jc w:val="both"/>
        <w:outlineLvl w:val="0"/>
        <w:rPr>
          <w:rFonts w:eastAsia="Times New Roman" w:cs="Arial"/>
          <w:color w:val="3B3B3B"/>
          <w:kern w:val="36"/>
          <w:sz w:val="18"/>
          <w:lang w:val="en-GB" w:eastAsia="fr-BE"/>
        </w:rPr>
      </w:pPr>
      <w:r w:rsidRPr="00511CF9">
        <w:rPr>
          <w:rFonts w:eastAsia="Times New Roman" w:cs="Arial"/>
          <w:color w:val="3B3B3B"/>
          <w:kern w:val="36"/>
          <w:sz w:val="18"/>
          <w:lang w:val="en-GB" w:eastAsia="fr-BE"/>
        </w:rPr>
        <w:t>15. </w:t>
      </w:r>
      <w:r w:rsidR="00E9033F">
        <w:fldChar w:fldCharType="begin"/>
      </w:r>
      <w:r w:rsidR="00E9033F">
        <w:instrText>HYPERLINK "http://www.ncbi.nlm.nih.gov/pubmed/?term=Segall%20JJ%5BAuthor%5D&amp;cauthor=true&amp;cauthor_uid=7814174"</w:instrText>
      </w:r>
      <w:r w:rsidR="00E9033F">
        <w:fldChar w:fldCharType="separate"/>
      </w:r>
      <w:r w:rsidRPr="00511CF9">
        <w:rPr>
          <w:rFonts w:eastAsia="Times New Roman"/>
          <w:color w:val="3B3B3B"/>
          <w:kern w:val="36"/>
          <w:sz w:val="18"/>
          <w:lang w:val="en-GB" w:eastAsia="fr-BE"/>
        </w:rPr>
        <w:t>Segall JJ</w:t>
      </w:r>
      <w:r w:rsidR="00E9033F">
        <w:fldChar w:fldCharType="end"/>
      </w:r>
      <w:r w:rsidRPr="00511CF9">
        <w:rPr>
          <w:rFonts w:eastAsia="Times New Roman"/>
          <w:kern w:val="36"/>
          <w:sz w:val="18"/>
          <w:lang w:val="en-GB" w:eastAsia="fr-BE"/>
        </w:rPr>
        <w:t>, </w:t>
      </w:r>
      <w:r w:rsidRPr="00511CF9">
        <w:rPr>
          <w:rFonts w:eastAsia="Times New Roman" w:cs="Arial"/>
          <w:color w:val="3B3B3B"/>
          <w:kern w:val="36"/>
          <w:sz w:val="18"/>
          <w:lang w:val="en-GB" w:eastAsia="fr-BE"/>
        </w:rPr>
        <w:t>Dietary lactose as a possible risk factor for ischaemic heart disease: review of epidemiology,</w:t>
      </w:r>
      <w:r w:rsidRPr="00511CF9">
        <w:rPr>
          <w:rFonts w:eastAsia="Times New Roman"/>
          <w:kern w:val="36"/>
          <w:sz w:val="18"/>
          <w:lang w:val="en-GB" w:eastAsia="fr-BE"/>
        </w:rPr>
        <w:t> </w:t>
      </w:r>
      <w:r w:rsidRPr="00511CF9">
        <w:rPr>
          <w:rFonts w:eastAsia="Times New Roman"/>
          <w:i/>
          <w:iCs/>
          <w:kern w:val="36"/>
          <w:sz w:val="18"/>
          <w:lang w:val="en-GB" w:eastAsia="fr-BE"/>
        </w:rPr>
        <w:t>Int J Cardiol,</w:t>
      </w:r>
      <w:r w:rsidRPr="00511CF9">
        <w:rPr>
          <w:rFonts w:eastAsia="Times New Roman"/>
          <w:kern w:val="36"/>
          <w:sz w:val="18"/>
          <w:lang w:val="en-GB" w:eastAsia="fr-BE"/>
        </w:rPr>
        <w:t> </w:t>
      </w:r>
      <w:r w:rsidRPr="00511CF9">
        <w:rPr>
          <w:rFonts w:eastAsia="Times New Roman" w:cs="Arial"/>
          <w:color w:val="3B3B3B"/>
          <w:kern w:val="36"/>
          <w:sz w:val="18"/>
          <w:lang w:val="en-GB" w:eastAsia="fr-BE"/>
        </w:rPr>
        <w:t>1994; 46 (3) : 197-207</w:t>
      </w:r>
    </w:p>
    <w:p w:rsidR="00511CF9" w:rsidRPr="00511CF9" w:rsidRDefault="00511CF9" w:rsidP="008D6017">
      <w:pPr>
        <w:pStyle w:val="Paragraphedeliste"/>
        <w:numPr>
          <w:ilvl w:val="0"/>
          <w:numId w:val="4"/>
        </w:numPr>
        <w:spacing w:before="100" w:beforeAutospacing="1" w:after="240"/>
        <w:ind w:left="714" w:hanging="357"/>
        <w:contextualSpacing w:val="0"/>
        <w:jc w:val="both"/>
        <w:outlineLvl w:val="0"/>
        <w:rPr>
          <w:rFonts w:eastAsia="Times New Roman" w:cs="Arial"/>
          <w:color w:val="3B3B3B"/>
          <w:kern w:val="36"/>
          <w:sz w:val="18"/>
          <w:lang w:val="en-GB" w:eastAsia="fr-BE"/>
        </w:rPr>
      </w:pPr>
      <w:r w:rsidRPr="00511CF9">
        <w:rPr>
          <w:rFonts w:eastAsia="Times New Roman" w:cs="Arial"/>
          <w:color w:val="3B3B3B"/>
          <w:kern w:val="36"/>
          <w:sz w:val="18"/>
          <w:lang w:val="en-GB" w:eastAsia="fr-BE"/>
        </w:rPr>
        <w:t>16. </w:t>
      </w:r>
      <w:r w:rsidR="00E9033F">
        <w:fldChar w:fldCharType="begin"/>
      </w:r>
      <w:r w:rsidR="00E9033F">
        <w:instrText>HYPERLINK "http://www.ncbi.nlm.nih.gov/pubmed/?term=Hegsted%20DM%5BAuthor%5D&amp;cauthor=true&amp;cauthor_uid=11684522"</w:instrText>
      </w:r>
      <w:r w:rsidR="00E9033F">
        <w:fldChar w:fldCharType="separate"/>
      </w:r>
      <w:r w:rsidRPr="00511CF9">
        <w:rPr>
          <w:rFonts w:eastAsia="Times New Roman"/>
          <w:color w:val="3B3B3B"/>
          <w:kern w:val="36"/>
          <w:sz w:val="18"/>
          <w:lang w:val="en-GB" w:eastAsia="fr-BE"/>
        </w:rPr>
        <w:t>Hegsted DM</w:t>
      </w:r>
      <w:r w:rsidR="00E9033F">
        <w:fldChar w:fldCharType="end"/>
      </w:r>
      <w:r w:rsidRPr="00511CF9">
        <w:rPr>
          <w:rFonts w:eastAsia="Times New Roman"/>
          <w:kern w:val="36"/>
          <w:sz w:val="18"/>
          <w:lang w:val="en-GB" w:eastAsia="fr-BE"/>
        </w:rPr>
        <w:t>, </w:t>
      </w:r>
      <w:r w:rsidRPr="00511CF9">
        <w:rPr>
          <w:rFonts w:eastAsia="Times New Roman" w:cs="Arial"/>
          <w:color w:val="3B3B3B"/>
          <w:kern w:val="36"/>
          <w:sz w:val="18"/>
          <w:lang w:val="en-GB" w:eastAsia="fr-BE"/>
        </w:rPr>
        <w:t>Fractures, calcium, and the modern diet, </w:t>
      </w:r>
      <w:r w:rsidRPr="00511CF9">
        <w:rPr>
          <w:rFonts w:eastAsia="Times New Roman"/>
          <w:i/>
          <w:iCs/>
          <w:kern w:val="36"/>
          <w:sz w:val="18"/>
          <w:lang w:val="en-GB" w:eastAsia="fr-BE"/>
        </w:rPr>
        <w:t>Am J Clin Nutr,</w:t>
      </w:r>
      <w:r w:rsidRPr="00511CF9">
        <w:rPr>
          <w:rFonts w:eastAsia="Times New Roman"/>
          <w:kern w:val="36"/>
          <w:sz w:val="18"/>
          <w:lang w:val="en-GB" w:eastAsia="fr-BE"/>
        </w:rPr>
        <w:t> </w:t>
      </w:r>
      <w:r w:rsidRPr="00511CF9">
        <w:rPr>
          <w:rFonts w:eastAsia="Times New Roman" w:cs="Arial"/>
          <w:color w:val="3B3B3B"/>
          <w:kern w:val="36"/>
          <w:sz w:val="18"/>
          <w:lang w:val="en-GB" w:eastAsia="fr-BE"/>
        </w:rPr>
        <w:t>2001 Nov;74(5):571-3</w:t>
      </w:r>
    </w:p>
    <w:p w:rsidR="00511CF9" w:rsidRPr="00511CF9" w:rsidRDefault="00511CF9" w:rsidP="008D6017">
      <w:pPr>
        <w:pStyle w:val="Paragraphedeliste"/>
        <w:numPr>
          <w:ilvl w:val="0"/>
          <w:numId w:val="4"/>
        </w:numPr>
        <w:spacing w:before="100" w:beforeAutospacing="1" w:after="240"/>
        <w:ind w:left="714" w:hanging="357"/>
        <w:contextualSpacing w:val="0"/>
        <w:jc w:val="both"/>
        <w:outlineLvl w:val="0"/>
        <w:rPr>
          <w:rFonts w:eastAsia="Times New Roman" w:cs="Arial"/>
          <w:color w:val="3B3B3B"/>
          <w:kern w:val="36"/>
          <w:sz w:val="18"/>
          <w:lang w:val="en-GB" w:eastAsia="fr-BE"/>
        </w:rPr>
      </w:pPr>
      <w:r w:rsidRPr="00511CF9">
        <w:rPr>
          <w:rFonts w:eastAsia="Times New Roman" w:cs="Arial"/>
          <w:color w:val="3B3B3B"/>
          <w:kern w:val="36"/>
          <w:sz w:val="18"/>
          <w:lang w:val="en-GB" w:eastAsia="fr-BE"/>
        </w:rPr>
        <w:t>17. </w:t>
      </w:r>
      <w:r w:rsidR="00E9033F">
        <w:fldChar w:fldCharType="begin"/>
      </w:r>
      <w:r w:rsidR="00E9033F">
        <w:instrText>HYPERLINK "http://www.ncbi.nlm.nih.gov/pubmed/?term=Adebamowo%20CA%5BAuthor%5D&amp;cauthor=true&amp;cauthor_uid=15692464"</w:instrText>
      </w:r>
      <w:r w:rsidR="00E9033F">
        <w:fldChar w:fldCharType="separate"/>
      </w:r>
      <w:r w:rsidRPr="00511CF9">
        <w:rPr>
          <w:rFonts w:eastAsia="Times New Roman"/>
          <w:color w:val="3B3B3B"/>
          <w:kern w:val="36"/>
          <w:sz w:val="18"/>
          <w:lang w:val="en-GB" w:eastAsia="fr-BE"/>
        </w:rPr>
        <w:t>Adebamowo CA</w:t>
      </w:r>
      <w:r w:rsidR="00E9033F">
        <w:fldChar w:fldCharType="end"/>
      </w:r>
      <w:r w:rsidRPr="00511CF9">
        <w:rPr>
          <w:rFonts w:eastAsia="Times New Roman"/>
          <w:kern w:val="36"/>
          <w:sz w:val="18"/>
          <w:lang w:val="en-GB" w:eastAsia="fr-BE"/>
        </w:rPr>
        <w:t> </w:t>
      </w:r>
      <w:r w:rsidRPr="00511CF9">
        <w:rPr>
          <w:rFonts w:eastAsia="Times New Roman" w:cs="Arial"/>
          <w:color w:val="3B3B3B"/>
          <w:kern w:val="36"/>
          <w:sz w:val="18"/>
          <w:lang w:val="en-GB" w:eastAsia="fr-BE"/>
        </w:rPr>
        <w:t>et al, High school dietary dairy intake and teenage acne,</w:t>
      </w:r>
      <w:r w:rsidRPr="00511CF9">
        <w:rPr>
          <w:rFonts w:eastAsia="Times New Roman"/>
          <w:kern w:val="36"/>
          <w:sz w:val="18"/>
          <w:lang w:val="en-GB" w:eastAsia="fr-BE"/>
        </w:rPr>
        <w:t> </w:t>
      </w:r>
      <w:r w:rsidRPr="00511CF9">
        <w:rPr>
          <w:rFonts w:eastAsia="Times New Roman"/>
          <w:i/>
          <w:iCs/>
          <w:kern w:val="36"/>
          <w:sz w:val="18"/>
          <w:lang w:val="en-GB" w:eastAsia="fr-BE"/>
        </w:rPr>
        <w:t>J Am Acad Dermatol,</w:t>
      </w:r>
      <w:r w:rsidRPr="00511CF9">
        <w:rPr>
          <w:rFonts w:eastAsia="Times New Roman"/>
          <w:kern w:val="36"/>
          <w:sz w:val="18"/>
          <w:lang w:val="en-GB" w:eastAsia="fr-BE"/>
        </w:rPr>
        <w:t> </w:t>
      </w:r>
      <w:r w:rsidRPr="00511CF9">
        <w:rPr>
          <w:rFonts w:eastAsia="Times New Roman" w:cs="Arial"/>
          <w:color w:val="3B3B3B"/>
          <w:kern w:val="36"/>
          <w:sz w:val="18"/>
          <w:lang w:val="en-GB" w:eastAsia="fr-BE"/>
        </w:rPr>
        <w:t>2005 ; 52 (2) : 207-14</w:t>
      </w:r>
    </w:p>
    <w:p w:rsidR="00511CF9" w:rsidRPr="00511CF9" w:rsidRDefault="00511CF9" w:rsidP="008D6017">
      <w:pPr>
        <w:pStyle w:val="Paragraphedeliste"/>
        <w:numPr>
          <w:ilvl w:val="0"/>
          <w:numId w:val="4"/>
        </w:numPr>
        <w:spacing w:before="100" w:beforeAutospacing="1" w:after="240"/>
        <w:ind w:left="714" w:hanging="357"/>
        <w:contextualSpacing w:val="0"/>
        <w:jc w:val="both"/>
        <w:outlineLvl w:val="0"/>
        <w:rPr>
          <w:rFonts w:eastAsia="Times New Roman" w:cs="Arial"/>
          <w:color w:val="3B3B3B"/>
          <w:kern w:val="36"/>
          <w:sz w:val="18"/>
          <w:lang w:val="en-GB" w:eastAsia="fr-BE"/>
        </w:rPr>
      </w:pPr>
      <w:r w:rsidRPr="00511CF9">
        <w:rPr>
          <w:rFonts w:eastAsia="Times New Roman" w:cs="Arial"/>
          <w:color w:val="3B3B3B"/>
          <w:kern w:val="36"/>
          <w:sz w:val="18"/>
          <w:lang w:val="en-GB" w:eastAsia="fr-BE"/>
        </w:rPr>
        <w:t>18. </w:t>
      </w:r>
      <w:r w:rsidR="00E9033F">
        <w:fldChar w:fldCharType="begin"/>
      </w:r>
      <w:r w:rsidR="00E9033F">
        <w:instrText>HYPERLINK "http://www.ncbi.nlm.nih.gov/pubmed/?term=Melnik%20BC%5Bauth%5D"</w:instrText>
      </w:r>
      <w:r w:rsidR="00E9033F">
        <w:fldChar w:fldCharType="separate"/>
      </w:r>
      <w:r w:rsidRPr="00511CF9">
        <w:rPr>
          <w:rFonts w:eastAsia="Times New Roman"/>
          <w:color w:val="3B3B3B"/>
          <w:kern w:val="36"/>
          <w:sz w:val="18"/>
          <w:lang w:val="en-GB" w:eastAsia="fr-BE"/>
        </w:rPr>
        <w:t>Bodo C Melnik</w:t>
      </w:r>
      <w:r w:rsidR="00E9033F">
        <w:fldChar w:fldCharType="end"/>
      </w:r>
      <w:r w:rsidRPr="00511CF9">
        <w:rPr>
          <w:rFonts w:eastAsia="Times New Roman"/>
          <w:kern w:val="36"/>
          <w:sz w:val="18"/>
          <w:lang w:val="en-GB" w:eastAsia="fr-BE"/>
        </w:rPr>
        <w:t> </w:t>
      </w:r>
      <w:r w:rsidRPr="00511CF9">
        <w:rPr>
          <w:rFonts w:eastAsia="Times New Roman" w:cs="Arial"/>
          <w:color w:val="3B3B3B"/>
          <w:kern w:val="36"/>
          <w:sz w:val="18"/>
          <w:lang w:val="en-GB" w:eastAsia="fr-BE"/>
        </w:rPr>
        <w:t>et al, The impact of cow’s milk-mediated mTORC1-signaling in the initiation and progression of prostate cancer,</w:t>
      </w:r>
      <w:r w:rsidRPr="00511CF9">
        <w:rPr>
          <w:rFonts w:eastAsia="Times New Roman"/>
          <w:kern w:val="36"/>
          <w:sz w:val="18"/>
          <w:lang w:val="en-GB" w:eastAsia="fr-BE"/>
        </w:rPr>
        <w:t> </w:t>
      </w:r>
      <w:r w:rsidRPr="00511CF9">
        <w:rPr>
          <w:rFonts w:eastAsia="Times New Roman"/>
          <w:i/>
          <w:iCs/>
          <w:kern w:val="36"/>
          <w:sz w:val="18"/>
          <w:lang w:val="en-GB" w:eastAsia="fr-BE"/>
        </w:rPr>
        <w:t>Nutr Metab (Lond),</w:t>
      </w:r>
      <w:r w:rsidRPr="00511CF9">
        <w:rPr>
          <w:rFonts w:eastAsia="Times New Roman"/>
          <w:kern w:val="36"/>
          <w:sz w:val="18"/>
          <w:lang w:val="en-GB" w:eastAsia="fr-BE"/>
        </w:rPr>
        <w:t> </w:t>
      </w:r>
      <w:r w:rsidRPr="00511CF9">
        <w:rPr>
          <w:rFonts w:eastAsia="Times New Roman" w:cs="Arial"/>
          <w:color w:val="3B3B3B"/>
          <w:kern w:val="36"/>
          <w:sz w:val="18"/>
          <w:lang w:val="en-GB" w:eastAsia="fr-BE"/>
        </w:rPr>
        <w:t>2012; 9: 74</w:t>
      </w:r>
    </w:p>
    <w:p w:rsidR="008D6017" w:rsidRDefault="00511CF9" w:rsidP="008D6017">
      <w:pPr>
        <w:pStyle w:val="Paragraphedeliste"/>
        <w:numPr>
          <w:ilvl w:val="0"/>
          <w:numId w:val="4"/>
        </w:numPr>
        <w:spacing w:before="100" w:beforeAutospacing="1" w:after="240"/>
        <w:ind w:left="714" w:hanging="357"/>
        <w:contextualSpacing w:val="0"/>
        <w:jc w:val="both"/>
        <w:outlineLvl w:val="0"/>
        <w:rPr>
          <w:rFonts w:eastAsia="Times New Roman" w:cs="Arial"/>
          <w:color w:val="3B3B3B"/>
          <w:kern w:val="36"/>
          <w:sz w:val="18"/>
          <w:lang w:val="en-GB" w:eastAsia="fr-BE"/>
        </w:rPr>
      </w:pPr>
      <w:r w:rsidRPr="00511CF9">
        <w:rPr>
          <w:rFonts w:eastAsia="Times New Roman" w:cs="Arial"/>
          <w:color w:val="3B3B3B"/>
          <w:kern w:val="36"/>
          <w:sz w:val="18"/>
          <w:lang w:val="en-GB" w:eastAsia="fr-BE"/>
        </w:rPr>
        <w:t>19. </w:t>
      </w:r>
      <w:r w:rsidR="00E9033F">
        <w:fldChar w:fldCharType="begin"/>
      </w:r>
      <w:r w:rsidR="00E9033F">
        <w:instrText>HYPERLINK "http://www.ncbi.nlm.nih.gov/pubmed/19496976" \o "Pediatrics international : official journal of the Japan Pediatric Society."</w:instrText>
      </w:r>
      <w:r w:rsidR="00E9033F">
        <w:fldChar w:fldCharType="separate"/>
      </w:r>
      <w:r w:rsidRPr="00511CF9">
        <w:rPr>
          <w:rFonts w:eastAsia="Times New Roman"/>
          <w:color w:val="3B3B3B"/>
          <w:kern w:val="36"/>
          <w:sz w:val="18"/>
          <w:lang w:val="en-GB" w:eastAsia="fr-BE"/>
        </w:rPr>
        <w:t>Pediatr Int.</w:t>
      </w:r>
      <w:r w:rsidR="00E9033F">
        <w:fldChar w:fldCharType="end"/>
      </w:r>
      <w:r w:rsidRPr="00511CF9">
        <w:rPr>
          <w:rFonts w:eastAsia="Times New Roman" w:cs="Arial"/>
          <w:color w:val="3B3B3B"/>
          <w:kern w:val="36"/>
          <w:sz w:val="18"/>
          <w:lang w:val="en-GB" w:eastAsia="fr-BE"/>
        </w:rPr>
        <w:t> 2010 Feb;52(1):33-8. doi: 10.1111/j.1442-200X.2009.02890.x. Epub 2009 May 22.</w:t>
      </w:r>
    </w:p>
    <w:p w:rsidR="008D6017" w:rsidRDefault="008D6017" w:rsidP="008D6017">
      <w:pPr>
        <w:pStyle w:val="Paragraphedeliste"/>
        <w:spacing w:before="100" w:beforeAutospacing="1" w:after="240"/>
        <w:ind w:left="714"/>
        <w:contextualSpacing w:val="0"/>
        <w:jc w:val="both"/>
        <w:outlineLvl w:val="0"/>
        <w:rPr>
          <w:rFonts w:eastAsia="Times New Roman" w:cs="Arial"/>
          <w:color w:val="3B3B3B"/>
          <w:kern w:val="36"/>
          <w:sz w:val="18"/>
          <w:lang w:val="en-GB" w:eastAsia="fr-BE"/>
        </w:rPr>
      </w:pPr>
    </w:p>
    <w:p w:rsidR="00511CF9" w:rsidRPr="00511CF9" w:rsidRDefault="00511CF9" w:rsidP="008D6017">
      <w:pPr>
        <w:pStyle w:val="Paragraphedeliste"/>
        <w:spacing w:before="100" w:beforeAutospacing="1" w:after="240"/>
        <w:ind w:left="714"/>
        <w:contextualSpacing w:val="0"/>
        <w:jc w:val="both"/>
        <w:outlineLvl w:val="0"/>
        <w:rPr>
          <w:rFonts w:eastAsia="Times New Roman" w:cs="Arial"/>
          <w:color w:val="3B3B3B"/>
          <w:kern w:val="36"/>
          <w:sz w:val="18"/>
          <w:lang w:val="en-GB" w:eastAsia="fr-BE"/>
        </w:rPr>
      </w:pPr>
    </w:p>
    <w:p w:rsidR="00630EC2" w:rsidRDefault="00630EC2" w:rsidP="008D6017">
      <w:pPr>
        <w:jc w:val="both"/>
        <w:rPr>
          <w:sz w:val="22"/>
          <w:szCs w:val="22"/>
          <w:lang w:val="en-GB"/>
        </w:rPr>
      </w:pPr>
    </w:p>
    <w:p w:rsidR="00630EC2" w:rsidRDefault="00630EC2" w:rsidP="008D6017">
      <w:pPr>
        <w:jc w:val="both"/>
        <w:rPr>
          <w:sz w:val="22"/>
          <w:szCs w:val="22"/>
          <w:lang w:val="en-GB"/>
        </w:rPr>
      </w:pPr>
    </w:p>
    <w:p w:rsidR="00630EC2" w:rsidRDefault="00630EC2" w:rsidP="008D6017">
      <w:pPr>
        <w:jc w:val="both"/>
        <w:rPr>
          <w:sz w:val="22"/>
          <w:szCs w:val="22"/>
          <w:lang w:val="en-GB"/>
        </w:rPr>
      </w:pPr>
    </w:p>
    <w:p w:rsidR="004F312B" w:rsidRDefault="004F312B" w:rsidP="008D6017">
      <w:pPr>
        <w:jc w:val="both"/>
        <w:rPr>
          <w:sz w:val="22"/>
          <w:szCs w:val="22"/>
          <w:lang w:val="en-GB"/>
        </w:rPr>
      </w:pPr>
    </w:p>
    <w:p w:rsidR="004F312B" w:rsidRPr="004F312B" w:rsidRDefault="004F312B" w:rsidP="008D6017">
      <w:pPr>
        <w:pStyle w:val="Titre2"/>
        <w:shd w:val="clear" w:color="auto" w:fill="29AC9E"/>
        <w:spacing w:after="240"/>
        <w:jc w:val="both"/>
        <w:rPr>
          <w:rFonts w:asciiTheme="minorHAnsi" w:hAnsiTheme="minorHAnsi"/>
          <w:caps/>
          <w:color w:val="D9D9D9" w:themeColor="background1" w:themeShade="D9"/>
          <w:sz w:val="36"/>
          <w:szCs w:val="36"/>
        </w:rPr>
      </w:pPr>
      <w:r w:rsidRPr="004F312B">
        <w:rPr>
          <w:rFonts w:asciiTheme="minorHAnsi" w:hAnsiTheme="minorHAnsi"/>
          <w:caps/>
          <w:color w:val="D9D9D9" w:themeColor="background1" w:themeShade="D9"/>
          <w:sz w:val="36"/>
          <w:szCs w:val="36"/>
        </w:rPr>
        <w:t>AGENDA</w:t>
      </w:r>
    </w:p>
    <w:p w:rsidR="007E341C" w:rsidRDefault="007E341C" w:rsidP="008D6017">
      <w:pPr>
        <w:pStyle w:val="NormalWeb"/>
        <w:shd w:val="clear" w:color="auto" w:fill="FFFFFF"/>
        <w:spacing w:before="0" w:beforeAutospacing="0" w:after="0" w:afterAutospacing="0"/>
        <w:jc w:val="both"/>
        <w:rPr>
          <w:rFonts w:asciiTheme="minorHAnsi" w:hAnsiTheme="minorHAnsi" w:cs="Arial"/>
          <w:color w:val="3B3B3B"/>
          <w:kern w:val="36"/>
          <w:lang w:val="fr-FR"/>
        </w:rPr>
      </w:pPr>
    </w:p>
    <w:p w:rsidR="007E341C" w:rsidRPr="007E341C" w:rsidRDefault="007E341C" w:rsidP="008D6017">
      <w:pPr>
        <w:pStyle w:val="Titre1"/>
        <w:keepNext w:val="0"/>
        <w:keepLines w:val="0"/>
        <w:pBdr>
          <w:bottom w:val="none" w:sz="0" w:space="0" w:color="auto"/>
        </w:pBdr>
        <w:shd w:val="clear" w:color="auto" w:fill="CCCCCC"/>
        <w:spacing w:before="0"/>
        <w:jc w:val="both"/>
        <w:rPr>
          <w:rFonts w:asciiTheme="minorHAnsi" w:hAnsiTheme="minorHAnsi"/>
          <w:color w:val="2B9F97"/>
          <w:sz w:val="40"/>
          <w:szCs w:val="40"/>
        </w:rPr>
      </w:pPr>
      <w:r w:rsidRPr="007E341C">
        <w:rPr>
          <w:rFonts w:asciiTheme="minorHAnsi" w:hAnsiTheme="minorHAnsi"/>
          <w:color w:val="2B9F97"/>
          <w:sz w:val="40"/>
          <w:szCs w:val="40"/>
        </w:rPr>
        <w:t>Conférences</w:t>
      </w:r>
    </w:p>
    <w:p w:rsidR="007E341C" w:rsidRDefault="007E341C" w:rsidP="008D6017">
      <w:pPr>
        <w:pStyle w:val="NormalWeb"/>
        <w:shd w:val="clear" w:color="auto" w:fill="FFFFFF"/>
        <w:spacing w:before="0" w:beforeAutospacing="0" w:after="0" w:afterAutospacing="0"/>
        <w:jc w:val="both"/>
        <w:rPr>
          <w:rFonts w:asciiTheme="minorHAnsi" w:hAnsiTheme="minorHAnsi" w:cs="Arial"/>
          <w:color w:val="3B3B3B"/>
          <w:kern w:val="36"/>
          <w:lang w:val="fr-FR"/>
        </w:rPr>
      </w:pPr>
    </w:p>
    <w:p w:rsidR="007E341C" w:rsidRDefault="007E341C" w:rsidP="008D6017">
      <w:pPr>
        <w:pStyle w:val="NormalWeb"/>
        <w:shd w:val="clear" w:color="auto" w:fill="FFFFFF"/>
        <w:spacing w:before="0" w:beforeAutospacing="0" w:after="0" w:afterAutospacing="0"/>
        <w:jc w:val="both"/>
        <w:rPr>
          <w:rFonts w:asciiTheme="minorHAnsi" w:hAnsiTheme="minorHAnsi" w:cs="Arial"/>
          <w:color w:val="3B3B3B"/>
          <w:kern w:val="36"/>
          <w:lang w:val="fr-FR"/>
        </w:rPr>
      </w:pPr>
      <w:r>
        <w:rPr>
          <w:noProof/>
          <w:sz w:val="22"/>
          <w:szCs w:val="22"/>
          <w:lang w:val="fr-FR" w:eastAsia="fr-FR"/>
        </w:rPr>
        <w:drawing>
          <wp:inline distT="0" distB="0" distL="0" distR="0">
            <wp:extent cx="2515235" cy="3551585"/>
            <wp:effectExtent l="25400" t="0" r="0" b="0"/>
            <wp:docPr id="15" name="Image 15" descr="C:\Users\Hélèné\Downloads\17190799_1449747021733608_16825354542494113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élèné\Downloads\17190799_1449747021733608_1682535454249411349_n.jpg"/>
                    <pic:cNvPicPr>
                      <a:picLocks noChangeAspect="1" noChangeArrowheads="1"/>
                    </pic:cNvPicPr>
                  </pic:nvPicPr>
                  <pic:blipFill>
                    <a:blip r:embed="rId56">
                      <a:extLst>
                        <a:ext uri="{28A0092B-C50C-407E-A947-70E740481C1C}">
                          <a14:useLocalDpi xmlns:mo="http://schemas.microsoft.com/office/mac/office/2008/main" xmlns:ve="http://schemas.openxmlformats.org/markup-compatibility/2006" xmlns:mv="urn:schemas-microsoft-com:mac:vml"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0196" cy="3558590"/>
                    </a:xfrm>
                    <a:prstGeom prst="rect">
                      <a:avLst/>
                    </a:prstGeom>
                    <a:noFill/>
                    <a:ln>
                      <a:noFill/>
                    </a:ln>
                  </pic:spPr>
                </pic:pic>
              </a:graphicData>
            </a:graphic>
          </wp:inline>
        </w:drawing>
      </w:r>
    </w:p>
    <w:p w:rsidR="007E341C" w:rsidRDefault="007E341C" w:rsidP="008D6017">
      <w:pPr>
        <w:pStyle w:val="NormalWeb"/>
        <w:shd w:val="clear" w:color="auto" w:fill="FFFFFF"/>
        <w:spacing w:before="0" w:beforeAutospacing="0" w:after="0" w:afterAutospacing="0"/>
        <w:jc w:val="both"/>
        <w:rPr>
          <w:rFonts w:asciiTheme="minorHAnsi" w:hAnsiTheme="minorHAnsi" w:cs="Arial"/>
          <w:color w:val="3B3B3B"/>
          <w:kern w:val="36"/>
          <w:lang w:val="fr-FR"/>
        </w:rPr>
      </w:pPr>
    </w:p>
    <w:p w:rsidR="00645AAD" w:rsidRPr="00645AAD" w:rsidRDefault="00645AAD" w:rsidP="008D6017">
      <w:pPr>
        <w:pStyle w:val="NormalWeb"/>
        <w:shd w:val="clear" w:color="auto" w:fill="FFFFFF"/>
        <w:spacing w:before="0" w:beforeAutospacing="0" w:after="240" w:afterAutospacing="0"/>
        <w:jc w:val="both"/>
        <w:rPr>
          <w:rFonts w:asciiTheme="minorHAnsi" w:hAnsiTheme="minorHAnsi" w:cs="Arial"/>
          <w:color w:val="3B3B3B"/>
          <w:kern w:val="36"/>
        </w:rPr>
      </w:pPr>
      <w:r>
        <w:rPr>
          <w:rFonts w:asciiTheme="minorHAnsi" w:hAnsiTheme="minorHAnsi" w:cs="Arial"/>
          <w:color w:val="3B3B3B"/>
          <w:kern w:val="36"/>
          <w:lang w:val="fr-FR"/>
        </w:rPr>
        <w:t>L</w:t>
      </w:r>
      <w:r w:rsidRPr="00645AAD">
        <w:rPr>
          <w:rFonts w:asciiTheme="minorHAnsi" w:hAnsiTheme="minorHAnsi" w:cs="Arial"/>
          <w:color w:val="3B3B3B"/>
          <w:kern w:val="36"/>
        </w:rPr>
        <w:t xml:space="preserve">’UDNF organise 3 conférences pour </w:t>
      </w:r>
      <w:r w:rsidRPr="000F42D8">
        <w:rPr>
          <w:rFonts w:asciiTheme="minorHAnsi" w:hAnsiTheme="minorHAnsi" w:cs="Arial"/>
          <w:b/>
          <w:color w:val="3B3B3B"/>
          <w:kern w:val="36"/>
        </w:rPr>
        <w:t>faire connaître la nutrithérapie du grand public</w:t>
      </w:r>
      <w:r w:rsidRPr="00645AAD">
        <w:rPr>
          <w:rFonts w:asciiTheme="minorHAnsi" w:hAnsiTheme="minorHAnsi" w:cs="Arial"/>
          <w:color w:val="3B3B3B"/>
          <w:kern w:val="36"/>
        </w:rPr>
        <w:t xml:space="preserve"> MAIS également </w:t>
      </w:r>
      <w:r w:rsidR="000F42D8" w:rsidRPr="000F42D8">
        <w:rPr>
          <w:rFonts w:asciiTheme="minorHAnsi" w:hAnsiTheme="minorHAnsi" w:cs="Arial"/>
          <w:b/>
          <w:color w:val="3B3B3B"/>
          <w:kern w:val="36"/>
        </w:rPr>
        <w:t xml:space="preserve">pour </w:t>
      </w:r>
      <w:r w:rsidRPr="000F42D8">
        <w:rPr>
          <w:rFonts w:asciiTheme="minorHAnsi" w:hAnsiTheme="minorHAnsi" w:cs="Arial"/>
          <w:b/>
          <w:color w:val="3B3B3B"/>
          <w:kern w:val="36"/>
        </w:rPr>
        <w:t>vous faire connaître dans votre région!</w:t>
      </w:r>
    </w:p>
    <w:p w:rsidR="00645AAD" w:rsidRPr="00645AAD" w:rsidRDefault="00645AAD" w:rsidP="008D6017">
      <w:pPr>
        <w:pStyle w:val="NormalWeb"/>
        <w:shd w:val="clear" w:color="auto" w:fill="FFFFFF"/>
        <w:spacing w:before="0" w:beforeAutospacing="0" w:after="240" w:afterAutospacing="0"/>
        <w:jc w:val="both"/>
        <w:rPr>
          <w:rFonts w:asciiTheme="minorHAnsi" w:hAnsiTheme="minorHAnsi" w:cs="Arial"/>
          <w:color w:val="3B3B3B"/>
          <w:kern w:val="36"/>
        </w:rPr>
      </w:pPr>
      <w:r w:rsidRPr="00645AAD">
        <w:rPr>
          <w:rFonts w:asciiTheme="minorHAnsi" w:hAnsiTheme="minorHAnsi" w:cs="Arial"/>
          <w:color w:val="3B3B3B"/>
          <w:kern w:val="36"/>
        </w:rPr>
        <w:t xml:space="preserve">Les membres présents aux conférences auront leur badge UDNF avec leur nom et </w:t>
      </w:r>
      <w:r w:rsidR="007E341C">
        <w:rPr>
          <w:rFonts w:asciiTheme="minorHAnsi" w:hAnsiTheme="minorHAnsi" w:cs="Arial"/>
          <w:color w:val="3B3B3B"/>
          <w:kern w:val="36"/>
        </w:rPr>
        <w:t>leur lieu de consultation</w:t>
      </w:r>
      <w:r w:rsidRPr="00645AAD">
        <w:rPr>
          <w:rFonts w:asciiTheme="minorHAnsi" w:hAnsiTheme="minorHAnsi" w:cs="Arial"/>
          <w:color w:val="3B3B3B"/>
          <w:kern w:val="36"/>
        </w:rPr>
        <w:t>.</w:t>
      </w:r>
    </w:p>
    <w:p w:rsidR="00645AAD" w:rsidRDefault="00645AAD" w:rsidP="008D6017">
      <w:pPr>
        <w:pStyle w:val="NormalWeb"/>
        <w:shd w:val="clear" w:color="auto" w:fill="FFFFFF"/>
        <w:spacing w:before="0" w:beforeAutospacing="0" w:after="240" w:afterAutospacing="0"/>
        <w:jc w:val="both"/>
        <w:rPr>
          <w:rFonts w:asciiTheme="minorHAnsi" w:hAnsiTheme="minorHAnsi" w:cs="Arial"/>
          <w:color w:val="3B3B3B"/>
          <w:kern w:val="36"/>
        </w:rPr>
      </w:pPr>
      <w:r w:rsidRPr="00645AAD">
        <w:rPr>
          <w:rFonts w:asciiTheme="minorHAnsi" w:hAnsiTheme="minorHAnsi" w:cs="Arial"/>
          <w:color w:val="3B3B3B"/>
          <w:kern w:val="36"/>
        </w:rPr>
        <w:t xml:space="preserve">Au cours de la conférence, l’orateur </w:t>
      </w:r>
      <w:r w:rsidR="007E341C">
        <w:rPr>
          <w:rFonts w:asciiTheme="minorHAnsi" w:hAnsiTheme="minorHAnsi" w:cs="Arial"/>
          <w:color w:val="3B3B3B"/>
          <w:kern w:val="36"/>
        </w:rPr>
        <w:t>introduira</w:t>
      </w:r>
      <w:r w:rsidRPr="00645AAD">
        <w:rPr>
          <w:rFonts w:asciiTheme="minorHAnsi" w:hAnsiTheme="minorHAnsi" w:cs="Arial"/>
          <w:color w:val="3B3B3B"/>
          <w:kern w:val="36"/>
        </w:rPr>
        <w:t xml:space="preserve"> les nutrithérapeutes présents, lesquels pourront échanger des questions-réponses avec les part</w:t>
      </w:r>
      <w:r w:rsidR="007E341C">
        <w:rPr>
          <w:rFonts w:asciiTheme="minorHAnsi" w:hAnsiTheme="minorHAnsi" w:cs="Arial"/>
          <w:color w:val="3B3B3B"/>
          <w:kern w:val="36"/>
        </w:rPr>
        <w:t>icipants après la conférence… Munissez-vous de vos cartes de visite!</w:t>
      </w:r>
    </w:p>
    <w:p w:rsidR="007E341C" w:rsidRDefault="007E341C" w:rsidP="008D6017">
      <w:pPr>
        <w:jc w:val="both"/>
        <w:rPr>
          <w:rFonts w:eastAsia="Times New Roman"/>
        </w:rPr>
      </w:pPr>
      <w:r>
        <w:rPr>
          <w:rFonts w:eastAsia="Times New Roman"/>
          <w:b/>
          <w:bCs/>
        </w:rPr>
        <w:t xml:space="preserve">Pour s’inscrire : un simple mail à </w:t>
      </w:r>
      <w:hyperlink r:id="rId57" w:history="1">
        <w:proofErr w:type="spellStart"/>
        <w:r w:rsidRPr="00C65086">
          <w:rPr>
            <w:rStyle w:val="Lienhypertexte"/>
            <w:rFonts w:eastAsia="Times New Roman"/>
            <w:b/>
            <w:bCs/>
            <w:color w:val="auto"/>
          </w:rPr>
          <w:t>info@udnf.be</w:t>
        </w:r>
        <w:proofErr w:type="spellEnd"/>
      </w:hyperlink>
      <w:r w:rsidRPr="00C65086">
        <w:rPr>
          <w:rFonts w:eastAsia="Times New Roman"/>
          <w:b/>
          <w:bCs/>
        </w:rPr>
        <w:t> ou</w:t>
      </w:r>
      <w:r>
        <w:rPr>
          <w:rFonts w:eastAsia="Times New Roman"/>
          <w:b/>
          <w:bCs/>
        </w:rPr>
        <w:t xml:space="preserve"> un message au 0476/81.05.00</w:t>
      </w:r>
    </w:p>
    <w:p w:rsidR="007E341C" w:rsidRDefault="007E341C" w:rsidP="008D6017">
      <w:pPr>
        <w:jc w:val="both"/>
        <w:rPr>
          <w:rFonts w:eastAsia="Times New Roman"/>
        </w:rPr>
      </w:pPr>
    </w:p>
    <w:p w:rsidR="007E341C" w:rsidRDefault="007E341C" w:rsidP="008D6017">
      <w:pPr>
        <w:jc w:val="both"/>
        <w:rPr>
          <w:rFonts w:eastAsia="Times New Roman"/>
        </w:rPr>
      </w:pPr>
      <w:r>
        <w:rPr>
          <w:rFonts w:eastAsia="Times New Roman"/>
        </w:rPr>
        <w:t xml:space="preserve">Nous comptons sur votre dynamisme pour </w:t>
      </w:r>
      <w:r w:rsidRPr="000F42D8">
        <w:rPr>
          <w:rFonts w:eastAsia="Times New Roman"/>
          <w:b/>
        </w:rPr>
        <w:t>inviter un maximum de personnes à ces conférences</w:t>
      </w:r>
      <w:r>
        <w:rPr>
          <w:rFonts w:eastAsia="Times New Roman"/>
        </w:rPr>
        <w:t xml:space="preserve">: partages de mail, </w:t>
      </w:r>
      <w:proofErr w:type="spellStart"/>
      <w:r>
        <w:rPr>
          <w:rFonts w:eastAsia="Times New Roman"/>
        </w:rPr>
        <w:t>Facebook</w:t>
      </w:r>
      <w:proofErr w:type="spellEnd"/>
      <w:r>
        <w:rPr>
          <w:rFonts w:eastAsia="Times New Roman"/>
        </w:rPr>
        <w:t>, publicité dans vos cabinets, les commerces que vous fréquentez, … </w:t>
      </w:r>
    </w:p>
    <w:p w:rsidR="007E341C" w:rsidRDefault="007E341C" w:rsidP="008D6017">
      <w:pPr>
        <w:jc w:val="both"/>
        <w:rPr>
          <w:rFonts w:eastAsia="Times New Roman"/>
        </w:rPr>
      </w:pPr>
    </w:p>
    <w:p w:rsidR="00645AAD" w:rsidRDefault="00645AAD" w:rsidP="008D6017">
      <w:pPr>
        <w:jc w:val="both"/>
        <w:rPr>
          <w:rFonts w:eastAsia="Times New Roman"/>
        </w:rPr>
      </w:pPr>
    </w:p>
    <w:p w:rsidR="007E341C" w:rsidRPr="007E341C" w:rsidRDefault="007E341C" w:rsidP="008D6017">
      <w:pPr>
        <w:pStyle w:val="Titre1"/>
        <w:keepNext w:val="0"/>
        <w:keepLines w:val="0"/>
        <w:pBdr>
          <w:bottom w:val="none" w:sz="0" w:space="0" w:color="auto"/>
        </w:pBdr>
        <w:shd w:val="clear" w:color="auto" w:fill="CCCCCC"/>
        <w:spacing w:before="0"/>
        <w:jc w:val="both"/>
        <w:rPr>
          <w:rFonts w:asciiTheme="minorHAnsi" w:hAnsiTheme="minorHAnsi"/>
          <w:color w:val="2B9F97"/>
          <w:sz w:val="40"/>
          <w:szCs w:val="40"/>
        </w:rPr>
      </w:pPr>
      <w:r>
        <w:rPr>
          <w:rFonts w:asciiTheme="minorHAnsi" w:hAnsiTheme="minorHAnsi"/>
          <w:color w:val="2B9F97"/>
          <w:sz w:val="40"/>
          <w:szCs w:val="40"/>
        </w:rPr>
        <w:t>Assemblée générale</w:t>
      </w:r>
    </w:p>
    <w:p w:rsidR="008D6017" w:rsidRDefault="008D6017" w:rsidP="008D6017">
      <w:pPr>
        <w:pStyle w:val="NormalWeb"/>
        <w:shd w:val="clear" w:color="auto" w:fill="FFFFFF"/>
        <w:spacing w:before="0" w:beforeAutospacing="0" w:after="240" w:afterAutospacing="0"/>
        <w:jc w:val="both"/>
        <w:rPr>
          <w:rFonts w:asciiTheme="minorHAnsi" w:hAnsiTheme="minorHAnsi" w:cs="Arial"/>
          <w:color w:val="3B3B3B"/>
          <w:kern w:val="36"/>
          <w:lang w:val="fr-FR"/>
        </w:rPr>
      </w:pPr>
    </w:p>
    <w:p w:rsidR="000F42D8" w:rsidRPr="000F42D8" w:rsidRDefault="00C91C5B" w:rsidP="008D6017">
      <w:pPr>
        <w:pStyle w:val="NormalWeb"/>
        <w:shd w:val="clear" w:color="auto" w:fill="FFFFFF"/>
        <w:spacing w:before="0" w:beforeAutospacing="0" w:after="240" w:afterAutospacing="0"/>
        <w:jc w:val="both"/>
        <w:rPr>
          <w:rFonts w:asciiTheme="minorHAnsi" w:hAnsiTheme="minorHAnsi" w:cs="Arial"/>
          <w:color w:val="3B3B3B"/>
          <w:kern w:val="36"/>
          <w:lang w:val="fr-FR"/>
        </w:rPr>
      </w:pPr>
      <w:r w:rsidRPr="000F42D8">
        <w:rPr>
          <w:rFonts w:asciiTheme="minorHAnsi" w:hAnsiTheme="minorHAnsi" w:cs="Arial"/>
          <w:color w:val="3B3B3B"/>
          <w:kern w:val="36"/>
          <w:lang w:val="fr-FR"/>
        </w:rPr>
        <w:t xml:space="preserve">L’assemblée générale ordinaire se tiendra le </w:t>
      </w:r>
      <w:r w:rsidR="000F42D8" w:rsidRPr="000F42D8">
        <w:rPr>
          <w:rFonts w:asciiTheme="minorHAnsi" w:hAnsiTheme="minorHAnsi" w:cs="Arial"/>
          <w:b/>
          <w:color w:val="3B3B3B"/>
          <w:kern w:val="36"/>
          <w:lang w:val="fr-FR"/>
        </w:rPr>
        <w:t>dimanche 18 juin 2017 après-midi à Namur</w:t>
      </w:r>
      <w:r w:rsidR="000F42D8" w:rsidRPr="000F42D8">
        <w:rPr>
          <w:rFonts w:asciiTheme="minorHAnsi" w:hAnsiTheme="minorHAnsi" w:cs="Arial"/>
          <w:color w:val="3B3B3B"/>
          <w:kern w:val="36"/>
          <w:lang w:val="fr-FR"/>
        </w:rPr>
        <w:t>.</w:t>
      </w:r>
    </w:p>
    <w:p w:rsidR="000F42D8" w:rsidRPr="000F42D8" w:rsidRDefault="000F42D8" w:rsidP="008D6017">
      <w:pPr>
        <w:pStyle w:val="NormalWeb"/>
        <w:shd w:val="clear" w:color="auto" w:fill="FFFFFF"/>
        <w:spacing w:before="0" w:beforeAutospacing="0" w:after="240" w:afterAutospacing="0"/>
        <w:jc w:val="both"/>
        <w:rPr>
          <w:rFonts w:asciiTheme="minorHAnsi" w:hAnsiTheme="minorHAnsi" w:cs="Arial"/>
          <w:color w:val="3B3B3B"/>
          <w:kern w:val="36"/>
          <w:lang w:val="fr-FR"/>
        </w:rPr>
      </w:pPr>
      <w:r w:rsidRPr="000F42D8">
        <w:rPr>
          <w:rFonts w:asciiTheme="minorHAnsi" w:hAnsiTheme="minorHAnsi" w:cs="Arial"/>
          <w:color w:val="3B3B3B"/>
          <w:kern w:val="36"/>
          <w:lang w:val="fr-FR"/>
        </w:rPr>
        <w:t>L’horaire et le lieu exact de la réunion vous seront communiqués prochainement, mais nous vous remercions d’ores et déjà de bloquer cette date dans vos agendas !</w:t>
      </w:r>
    </w:p>
    <w:p w:rsidR="000F42D8" w:rsidRDefault="000F42D8" w:rsidP="008D6017">
      <w:pPr>
        <w:pStyle w:val="NormalWeb"/>
        <w:shd w:val="clear" w:color="auto" w:fill="FFFFFF"/>
        <w:spacing w:before="0" w:beforeAutospacing="0" w:after="240" w:afterAutospacing="0"/>
        <w:jc w:val="both"/>
        <w:rPr>
          <w:rFonts w:asciiTheme="minorHAnsi" w:hAnsiTheme="minorHAnsi" w:cs="Arial"/>
          <w:color w:val="3B3B3B"/>
          <w:kern w:val="36"/>
          <w:lang w:val="fr-FR"/>
        </w:rPr>
      </w:pPr>
      <w:r w:rsidRPr="000F42D8">
        <w:rPr>
          <w:rFonts w:asciiTheme="minorHAnsi" w:hAnsiTheme="minorHAnsi" w:cs="Arial"/>
          <w:color w:val="3B3B3B"/>
          <w:kern w:val="36"/>
          <w:lang w:val="fr-FR"/>
        </w:rPr>
        <w:t xml:space="preserve">L’assemblée générale sera combinée avec une formation continuée donnée par un </w:t>
      </w:r>
      <w:r w:rsidRPr="000F42D8">
        <w:rPr>
          <w:rFonts w:asciiTheme="minorHAnsi" w:hAnsiTheme="minorHAnsi" w:cs="Arial"/>
          <w:b/>
          <w:color w:val="3B3B3B"/>
          <w:kern w:val="36"/>
          <w:lang w:val="fr-FR"/>
        </w:rPr>
        <w:t>orateur invité</w:t>
      </w:r>
      <w:r w:rsidRPr="000F42D8">
        <w:rPr>
          <w:rFonts w:asciiTheme="minorHAnsi" w:hAnsiTheme="minorHAnsi" w:cs="Arial"/>
          <w:color w:val="3B3B3B"/>
          <w:kern w:val="36"/>
          <w:lang w:val="fr-FR"/>
        </w:rPr>
        <w:t xml:space="preserve"> ainsi qu’un </w:t>
      </w:r>
      <w:r w:rsidRPr="000F42D8">
        <w:rPr>
          <w:rFonts w:asciiTheme="minorHAnsi" w:hAnsiTheme="minorHAnsi" w:cs="Arial"/>
          <w:b/>
          <w:color w:val="3B3B3B"/>
          <w:kern w:val="36"/>
          <w:lang w:val="fr-FR"/>
        </w:rPr>
        <w:t>partage d’expériences</w:t>
      </w:r>
      <w:r w:rsidRPr="000F42D8">
        <w:rPr>
          <w:rFonts w:asciiTheme="minorHAnsi" w:hAnsiTheme="minorHAnsi" w:cs="Arial"/>
          <w:color w:val="3B3B3B"/>
          <w:kern w:val="36"/>
          <w:lang w:val="fr-FR"/>
        </w:rPr>
        <w:t xml:space="preserve"> ou une </w:t>
      </w:r>
      <w:r w:rsidRPr="000F42D8">
        <w:rPr>
          <w:rFonts w:asciiTheme="minorHAnsi" w:hAnsiTheme="minorHAnsi" w:cs="Arial"/>
          <w:b/>
          <w:color w:val="3B3B3B"/>
          <w:kern w:val="36"/>
          <w:lang w:val="fr-FR"/>
        </w:rPr>
        <w:t>présentation de cas</w:t>
      </w:r>
      <w:r w:rsidRPr="000F42D8">
        <w:rPr>
          <w:rFonts w:asciiTheme="minorHAnsi" w:hAnsiTheme="minorHAnsi" w:cs="Arial"/>
          <w:color w:val="3B3B3B"/>
          <w:kern w:val="36"/>
          <w:lang w:val="fr-FR"/>
        </w:rPr>
        <w:t xml:space="preserve"> par les membres.</w:t>
      </w:r>
    </w:p>
    <w:p w:rsidR="000F42D8" w:rsidRPr="000F42D8" w:rsidRDefault="008D6017" w:rsidP="008D6017">
      <w:pPr>
        <w:pStyle w:val="NormalWeb"/>
        <w:shd w:val="clear" w:color="auto" w:fill="FFFFFF"/>
        <w:spacing w:before="0" w:beforeAutospacing="0" w:after="240" w:afterAutospacing="0"/>
        <w:jc w:val="both"/>
        <w:rPr>
          <w:rFonts w:asciiTheme="minorHAnsi" w:hAnsiTheme="minorHAnsi" w:cs="Arial"/>
          <w:color w:val="3B3B3B"/>
          <w:kern w:val="36"/>
          <w:lang w:val="fr-FR"/>
        </w:rPr>
      </w:pPr>
      <w:r>
        <w:rPr>
          <w:rFonts w:asciiTheme="minorHAnsi" w:hAnsiTheme="minorHAnsi" w:cs="Arial"/>
          <w:noProof/>
          <w:color w:val="3B3B3B"/>
          <w:kern w:val="36"/>
          <w:lang w:val="fr-FR" w:eastAsia="fr-FR"/>
        </w:rPr>
        <w:drawing>
          <wp:inline distT="0" distB="0" distL="0" distR="0">
            <wp:extent cx="6624320" cy="6887845"/>
            <wp:effectExtent l="25400" t="0" r="5080" b="0"/>
            <wp:docPr id="16" name="Image 15" descr="Capture d’écran 2017-03-10 à 12.4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7-03-10 à 12.44.41.png"/>
                    <pic:cNvPicPr/>
                  </pic:nvPicPr>
                  <pic:blipFill>
                    <a:blip r:embed="rId58"/>
                    <a:stretch>
                      <a:fillRect/>
                    </a:stretch>
                  </pic:blipFill>
                  <pic:spPr>
                    <a:xfrm>
                      <a:off x="0" y="0"/>
                      <a:ext cx="6624320" cy="6887845"/>
                    </a:xfrm>
                    <a:prstGeom prst="rect">
                      <a:avLst/>
                    </a:prstGeom>
                  </pic:spPr>
                </pic:pic>
              </a:graphicData>
            </a:graphic>
          </wp:inline>
        </w:drawing>
      </w:r>
    </w:p>
    <w:sectPr w:rsidR="000F42D8" w:rsidRPr="000F42D8" w:rsidSect="00C65086">
      <w:footerReference w:type="even" r:id="rId59"/>
      <w:footerReference w:type="default" r:id="rId60"/>
      <w:endnotePr>
        <w:numFmt w:val="decimal"/>
      </w:endnotePr>
      <w:pgSz w:w="11899" w:h="16838"/>
      <w:pgMar w:top="709" w:right="474" w:bottom="993" w:left="993" w:gutter="0"/>
      <w:noEndnote/>
      <w:printerSettings r:id="rId61"/>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5AA0" w:rsidRDefault="00435AA0" w:rsidP="00915C66">
      <w:r>
        <w:separator/>
      </w:r>
    </w:p>
  </w:endnote>
  <w:endnote w:type="continuationSeparator" w:id="0">
    <w:p w:rsidR="00435AA0" w:rsidRDefault="00435AA0" w:rsidP="00915C66">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Lucida Grande">
    <w:charset w:val="00"/>
    <w:family w:val="auto"/>
    <w:pitch w:val="variable"/>
    <w:sig w:usb0="E1000AEF" w:usb1="5000A1FF" w:usb2="00000000" w:usb3="00000000" w:csb0="000001BF"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AA0" w:rsidRDefault="00435AA0" w:rsidP="00295D2C">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435AA0" w:rsidRDefault="00435AA0" w:rsidP="00295D2C">
    <w:pPr>
      <w:pStyle w:val="Pieddepage"/>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5AA0" w:rsidRPr="00295D2C" w:rsidRDefault="00435AA0" w:rsidP="00295D2C">
    <w:pPr>
      <w:pStyle w:val="Pieddepage"/>
      <w:framePr w:wrap="around" w:vAnchor="text" w:hAnchor="margin" w:xAlign="right" w:y="1"/>
      <w:rPr>
        <w:rStyle w:val="Numrodepage"/>
      </w:rPr>
    </w:pPr>
    <w:r w:rsidRPr="00295D2C">
      <w:rPr>
        <w:rStyle w:val="Numrodepage"/>
        <w:rFonts w:ascii="Times New Roman" w:hAnsi="Times New Roman" w:cs="Times New Roman"/>
        <w:sz w:val="16"/>
        <w:szCs w:val="16"/>
      </w:rPr>
      <w:t xml:space="preserve">Page </w:t>
    </w:r>
    <w:r w:rsidRPr="00295D2C">
      <w:rPr>
        <w:rStyle w:val="Numrodepage"/>
        <w:rFonts w:ascii="Times New Roman" w:hAnsi="Times New Roman" w:cs="Times New Roman"/>
        <w:sz w:val="16"/>
        <w:szCs w:val="16"/>
      </w:rPr>
      <w:fldChar w:fldCharType="begin"/>
    </w:r>
    <w:r w:rsidRPr="00295D2C">
      <w:rPr>
        <w:rStyle w:val="Numrodepage"/>
        <w:rFonts w:ascii="Times New Roman" w:hAnsi="Times New Roman" w:cs="Times New Roman"/>
        <w:sz w:val="16"/>
        <w:szCs w:val="16"/>
      </w:rPr>
      <w:instrText xml:space="preserve"> PAGE </w:instrText>
    </w:r>
    <w:r w:rsidRPr="00295D2C">
      <w:rPr>
        <w:rStyle w:val="Numrodepage"/>
        <w:rFonts w:ascii="Times New Roman" w:hAnsi="Times New Roman" w:cs="Times New Roman"/>
        <w:sz w:val="16"/>
        <w:szCs w:val="16"/>
      </w:rPr>
      <w:fldChar w:fldCharType="separate"/>
    </w:r>
    <w:r w:rsidR="0035399C">
      <w:rPr>
        <w:rStyle w:val="Numrodepage"/>
        <w:rFonts w:ascii="Times New Roman" w:hAnsi="Times New Roman" w:cs="Times New Roman"/>
        <w:noProof/>
        <w:sz w:val="16"/>
        <w:szCs w:val="16"/>
      </w:rPr>
      <w:t>2</w:t>
    </w:r>
    <w:r w:rsidRPr="00295D2C">
      <w:rPr>
        <w:rStyle w:val="Numrodepage"/>
        <w:rFonts w:ascii="Times New Roman" w:hAnsi="Times New Roman" w:cs="Times New Roman"/>
        <w:sz w:val="16"/>
        <w:szCs w:val="16"/>
      </w:rPr>
      <w:fldChar w:fldCharType="end"/>
    </w:r>
    <w:r w:rsidRPr="00295D2C">
      <w:rPr>
        <w:rStyle w:val="Numrodepage"/>
        <w:rFonts w:ascii="Times New Roman" w:hAnsi="Times New Roman" w:cs="Times New Roman"/>
        <w:sz w:val="16"/>
        <w:szCs w:val="16"/>
      </w:rPr>
      <w:t xml:space="preserve"> sur </w:t>
    </w:r>
    <w:r w:rsidRPr="00295D2C">
      <w:rPr>
        <w:rStyle w:val="Numrodepage"/>
        <w:rFonts w:ascii="Times New Roman" w:hAnsi="Times New Roman" w:cs="Times New Roman"/>
        <w:sz w:val="16"/>
        <w:szCs w:val="16"/>
      </w:rPr>
      <w:fldChar w:fldCharType="begin"/>
    </w:r>
    <w:r w:rsidRPr="00295D2C">
      <w:rPr>
        <w:rStyle w:val="Numrodepage"/>
        <w:rFonts w:ascii="Times New Roman" w:hAnsi="Times New Roman" w:cs="Times New Roman"/>
        <w:sz w:val="16"/>
        <w:szCs w:val="16"/>
      </w:rPr>
      <w:instrText xml:space="preserve"> NUMPAGES </w:instrText>
    </w:r>
    <w:r w:rsidRPr="00295D2C">
      <w:rPr>
        <w:rStyle w:val="Numrodepage"/>
        <w:rFonts w:ascii="Times New Roman" w:hAnsi="Times New Roman" w:cs="Times New Roman"/>
        <w:sz w:val="16"/>
        <w:szCs w:val="16"/>
      </w:rPr>
      <w:fldChar w:fldCharType="separate"/>
    </w:r>
    <w:r w:rsidR="0035399C">
      <w:rPr>
        <w:rStyle w:val="Numrodepage"/>
        <w:rFonts w:ascii="Times New Roman" w:hAnsi="Times New Roman" w:cs="Times New Roman"/>
        <w:noProof/>
        <w:sz w:val="16"/>
        <w:szCs w:val="16"/>
      </w:rPr>
      <w:t>15</w:t>
    </w:r>
    <w:r w:rsidRPr="00295D2C">
      <w:rPr>
        <w:rStyle w:val="Numrodepage"/>
        <w:rFonts w:ascii="Times New Roman" w:hAnsi="Times New Roman" w:cs="Times New Roman"/>
        <w:sz w:val="16"/>
        <w:szCs w:val="16"/>
      </w:rPr>
      <w:fldChar w:fldCharType="end"/>
    </w:r>
  </w:p>
  <w:p w:rsidR="00435AA0" w:rsidRPr="00295D2C" w:rsidRDefault="00435AA0" w:rsidP="00295D2C">
    <w:pPr>
      <w:pStyle w:val="Pieddepage"/>
      <w:ind w:right="360"/>
      <w:rPr>
        <w:sz w:val="16"/>
        <w:szCs w:val="16"/>
      </w:rPr>
    </w:pPr>
    <w:r w:rsidRPr="00295D2C">
      <w:rPr>
        <w:sz w:val="16"/>
        <w:szCs w:val="16"/>
      </w:rPr>
      <w:t xml:space="preserve">Newsletter n° </w:t>
    </w:r>
    <w:r>
      <w:rPr>
        <w:sz w:val="16"/>
        <w:szCs w:val="16"/>
      </w:rPr>
      <w:t>2</w:t>
    </w:r>
    <w:r w:rsidRPr="00295D2C">
      <w:rPr>
        <w:sz w:val="16"/>
        <w:szCs w:val="16"/>
      </w:rPr>
      <w:t> </w:t>
    </w:r>
    <w:proofErr w:type="gramStart"/>
    <w:r w:rsidRPr="00295D2C">
      <w:rPr>
        <w:sz w:val="16"/>
        <w:szCs w:val="16"/>
      </w:rPr>
      <w:t xml:space="preserve">:  </w:t>
    </w:r>
    <w:r w:rsidRPr="00295D2C">
      <w:rPr>
        <w:rFonts w:ascii="Cambria" w:hAnsi="Cambria"/>
        <w:sz w:val="16"/>
        <w:szCs w:val="16"/>
      </w:rPr>
      <w:t>©</w:t>
    </w:r>
    <w:proofErr w:type="spellStart"/>
    <w:proofErr w:type="gramEnd"/>
    <w:r w:rsidRPr="00295D2C">
      <w:rPr>
        <w:sz w:val="16"/>
        <w:szCs w:val="16"/>
      </w:rPr>
      <w:t>UDNF</w:t>
    </w:r>
    <w:proofErr w:type="spellEnd"/>
    <w:r w:rsidRPr="00295D2C">
      <w:rPr>
        <w:sz w:val="16"/>
        <w:szCs w:val="16"/>
      </w:rPr>
      <w:tab/>
    </w:r>
    <w:r w:rsidRPr="00295D2C">
      <w:rPr>
        <w:sz w:val="16"/>
        <w:szCs w:val="16"/>
      </w:rPr>
      <w:tab/>
    </w:r>
    <w:r w:rsidRPr="00295D2C">
      <w:rPr>
        <w:sz w:val="16"/>
        <w:szCs w:val="16"/>
      </w:rPr>
      <w:tab/>
      <w:t xml:space="preserve"> </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5AA0" w:rsidRDefault="00435AA0" w:rsidP="00915C66">
      <w:r>
        <w:separator/>
      </w:r>
    </w:p>
  </w:footnote>
  <w:footnote w:type="continuationSeparator" w:id="0">
    <w:p w:rsidR="00435AA0" w:rsidRDefault="00435AA0" w:rsidP="00915C66">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B67422"/>
    <w:multiLevelType w:val="hybridMultilevel"/>
    <w:tmpl w:val="F96C605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BED4119"/>
    <w:multiLevelType w:val="multilevel"/>
    <w:tmpl w:val="3A7C2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6091C9E"/>
    <w:multiLevelType w:val="multilevel"/>
    <w:tmpl w:val="3CD28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CB15A64"/>
    <w:multiLevelType w:val="multilevel"/>
    <w:tmpl w:val="0BCAA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1A603C6"/>
    <w:multiLevelType w:val="hybridMultilevel"/>
    <w:tmpl w:val="E2EE794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2460A6D"/>
    <w:multiLevelType w:val="hybridMultilevel"/>
    <w:tmpl w:val="2D12950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3929256B"/>
    <w:multiLevelType w:val="hybridMultilevel"/>
    <w:tmpl w:val="5B60F48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3C873974"/>
    <w:multiLevelType w:val="multilevel"/>
    <w:tmpl w:val="A23C5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760663C"/>
    <w:multiLevelType w:val="hybridMultilevel"/>
    <w:tmpl w:val="C9402DA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50516B9E"/>
    <w:multiLevelType w:val="hybridMultilevel"/>
    <w:tmpl w:val="BEBA759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nsid w:val="54E1799D"/>
    <w:multiLevelType w:val="hybridMultilevel"/>
    <w:tmpl w:val="ED7C62D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635E67F0"/>
    <w:multiLevelType w:val="multilevel"/>
    <w:tmpl w:val="67443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674D3C80"/>
    <w:multiLevelType w:val="hybridMultilevel"/>
    <w:tmpl w:val="E4029EF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6B0911F8"/>
    <w:multiLevelType w:val="multilevel"/>
    <w:tmpl w:val="06121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767959E6"/>
    <w:multiLevelType w:val="hybridMultilevel"/>
    <w:tmpl w:val="23F018A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nsid w:val="7E1F2D73"/>
    <w:multiLevelType w:val="hybridMultilevel"/>
    <w:tmpl w:val="C354037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9"/>
  </w:num>
  <w:num w:numId="4">
    <w:abstractNumId w:val="8"/>
  </w:num>
  <w:num w:numId="5">
    <w:abstractNumId w:val="2"/>
  </w:num>
  <w:num w:numId="6">
    <w:abstractNumId w:val="3"/>
  </w:num>
  <w:num w:numId="7">
    <w:abstractNumId w:val="1"/>
  </w:num>
  <w:num w:numId="8">
    <w:abstractNumId w:val="7"/>
  </w:num>
  <w:num w:numId="9">
    <w:abstractNumId w:val="13"/>
  </w:num>
  <w:num w:numId="10">
    <w:abstractNumId w:val="11"/>
  </w:num>
  <w:num w:numId="11">
    <w:abstractNumId w:val="5"/>
  </w:num>
  <w:num w:numId="12">
    <w:abstractNumId w:val="6"/>
  </w:num>
  <w:num w:numId="13">
    <w:abstractNumId w:val="12"/>
  </w:num>
  <w:num w:numId="14">
    <w:abstractNumId w:val="14"/>
  </w:num>
  <w:num w:numId="15">
    <w:abstractNumId w:val="10"/>
  </w:num>
  <w:num w:numId="16">
    <w:abstractNumId w:val="15"/>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oNotTrackMoves/>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useFELayout/>
  </w:compat>
  <w:rsids>
    <w:rsidRoot w:val="000D19A6"/>
    <w:rsid w:val="00057DFE"/>
    <w:rsid w:val="000708D2"/>
    <w:rsid w:val="00077137"/>
    <w:rsid w:val="000A3149"/>
    <w:rsid w:val="000A46B3"/>
    <w:rsid w:val="000D19A6"/>
    <w:rsid w:val="000D5D7F"/>
    <w:rsid w:val="000F2372"/>
    <w:rsid w:val="000F3501"/>
    <w:rsid w:val="000F42D8"/>
    <w:rsid w:val="00144017"/>
    <w:rsid w:val="00144C4B"/>
    <w:rsid w:val="00172857"/>
    <w:rsid w:val="00195464"/>
    <w:rsid w:val="00196A39"/>
    <w:rsid w:val="001A2EC9"/>
    <w:rsid w:val="001F7FF8"/>
    <w:rsid w:val="0020093F"/>
    <w:rsid w:val="002071F2"/>
    <w:rsid w:val="00220200"/>
    <w:rsid w:val="00232DFE"/>
    <w:rsid w:val="00242715"/>
    <w:rsid w:val="002913FA"/>
    <w:rsid w:val="00295D2C"/>
    <w:rsid w:val="00296D44"/>
    <w:rsid w:val="002E7771"/>
    <w:rsid w:val="00323F12"/>
    <w:rsid w:val="003307A2"/>
    <w:rsid w:val="0035399C"/>
    <w:rsid w:val="00360F99"/>
    <w:rsid w:val="00367F3D"/>
    <w:rsid w:val="00381C3C"/>
    <w:rsid w:val="003A4176"/>
    <w:rsid w:val="003A7C49"/>
    <w:rsid w:val="00435AA0"/>
    <w:rsid w:val="00452EE2"/>
    <w:rsid w:val="004747A9"/>
    <w:rsid w:val="004777EF"/>
    <w:rsid w:val="0048586E"/>
    <w:rsid w:val="00497BB6"/>
    <w:rsid w:val="004C2550"/>
    <w:rsid w:val="004D07FA"/>
    <w:rsid w:val="004E5878"/>
    <w:rsid w:val="004E5BF5"/>
    <w:rsid w:val="004F312B"/>
    <w:rsid w:val="004F62B0"/>
    <w:rsid w:val="00511707"/>
    <w:rsid w:val="00511CF9"/>
    <w:rsid w:val="00527267"/>
    <w:rsid w:val="00544373"/>
    <w:rsid w:val="005504DB"/>
    <w:rsid w:val="00552DFC"/>
    <w:rsid w:val="005810B8"/>
    <w:rsid w:val="00587F05"/>
    <w:rsid w:val="00590792"/>
    <w:rsid w:val="005B0014"/>
    <w:rsid w:val="005B142B"/>
    <w:rsid w:val="005D0038"/>
    <w:rsid w:val="005F0F33"/>
    <w:rsid w:val="005F1EEE"/>
    <w:rsid w:val="00610F09"/>
    <w:rsid w:val="00630EC2"/>
    <w:rsid w:val="00645AAD"/>
    <w:rsid w:val="006526C6"/>
    <w:rsid w:val="006743FB"/>
    <w:rsid w:val="00675248"/>
    <w:rsid w:val="00685B18"/>
    <w:rsid w:val="006A59F2"/>
    <w:rsid w:val="006C13D5"/>
    <w:rsid w:val="006E50E4"/>
    <w:rsid w:val="00701334"/>
    <w:rsid w:val="00731586"/>
    <w:rsid w:val="00734B97"/>
    <w:rsid w:val="00744E05"/>
    <w:rsid w:val="007552C7"/>
    <w:rsid w:val="007574CB"/>
    <w:rsid w:val="007724BE"/>
    <w:rsid w:val="007824E2"/>
    <w:rsid w:val="00783699"/>
    <w:rsid w:val="00784AB2"/>
    <w:rsid w:val="00784C69"/>
    <w:rsid w:val="007A30F0"/>
    <w:rsid w:val="007A72DB"/>
    <w:rsid w:val="007B54FB"/>
    <w:rsid w:val="007E341C"/>
    <w:rsid w:val="00804C45"/>
    <w:rsid w:val="00830F0B"/>
    <w:rsid w:val="00834214"/>
    <w:rsid w:val="0084754E"/>
    <w:rsid w:val="00876632"/>
    <w:rsid w:val="00877F46"/>
    <w:rsid w:val="00881A63"/>
    <w:rsid w:val="00896A0F"/>
    <w:rsid w:val="008A4134"/>
    <w:rsid w:val="008A69AF"/>
    <w:rsid w:val="008C7D8B"/>
    <w:rsid w:val="008D0A0E"/>
    <w:rsid w:val="008D6017"/>
    <w:rsid w:val="008F4F4F"/>
    <w:rsid w:val="00912D3F"/>
    <w:rsid w:val="00915C66"/>
    <w:rsid w:val="00920EE8"/>
    <w:rsid w:val="009B24CF"/>
    <w:rsid w:val="00A02CFA"/>
    <w:rsid w:val="00A315A9"/>
    <w:rsid w:val="00A3174C"/>
    <w:rsid w:val="00A378E6"/>
    <w:rsid w:val="00A37BAF"/>
    <w:rsid w:val="00A54A72"/>
    <w:rsid w:val="00A70EEA"/>
    <w:rsid w:val="00A7579A"/>
    <w:rsid w:val="00A9566D"/>
    <w:rsid w:val="00AA6207"/>
    <w:rsid w:val="00AB23D6"/>
    <w:rsid w:val="00AD1D0E"/>
    <w:rsid w:val="00AD2820"/>
    <w:rsid w:val="00AE43F5"/>
    <w:rsid w:val="00B0699B"/>
    <w:rsid w:val="00B33406"/>
    <w:rsid w:val="00B52A6D"/>
    <w:rsid w:val="00B55683"/>
    <w:rsid w:val="00B575D9"/>
    <w:rsid w:val="00B66F31"/>
    <w:rsid w:val="00B830AD"/>
    <w:rsid w:val="00B929B7"/>
    <w:rsid w:val="00BD5A6E"/>
    <w:rsid w:val="00BF7658"/>
    <w:rsid w:val="00C65086"/>
    <w:rsid w:val="00C6667C"/>
    <w:rsid w:val="00C71969"/>
    <w:rsid w:val="00C77040"/>
    <w:rsid w:val="00C9104F"/>
    <w:rsid w:val="00C91B20"/>
    <w:rsid w:val="00C91C5B"/>
    <w:rsid w:val="00CA3945"/>
    <w:rsid w:val="00CD1D49"/>
    <w:rsid w:val="00D507A1"/>
    <w:rsid w:val="00D63984"/>
    <w:rsid w:val="00D757C7"/>
    <w:rsid w:val="00E10403"/>
    <w:rsid w:val="00E20ED2"/>
    <w:rsid w:val="00E61A64"/>
    <w:rsid w:val="00E67159"/>
    <w:rsid w:val="00E9033F"/>
    <w:rsid w:val="00E945A6"/>
    <w:rsid w:val="00EB1937"/>
    <w:rsid w:val="00F10578"/>
    <w:rsid w:val="00F27DD1"/>
    <w:rsid w:val="00F336A4"/>
    <w:rsid w:val="00F700E4"/>
    <w:rsid w:val="00F76AC4"/>
    <w:rsid w:val="00F805F7"/>
    <w:rsid w:val="00FA1154"/>
    <w:rsid w:val="00FD2AAE"/>
    <w:rsid w:val="00FE0F38"/>
    <w:rsid w:val="00FE169D"/>
  </w:rsids>
  <m:mathPr>
    <m:mathFont m:val="Impact"/>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1EEE"/>
  </w:style>
  <w:style w:type="paragraph" w:styleId="Titre1">
    <w:name w:val="heading 1"/>
    <w:basedOn w:val="Normal"/>
    <w:next w:val="Normal"/>
    <w:link w:val="Titre1Car"/>
    <w:autoRedefine/>
    <w:uiPriority w:val="9"/>
    <w:qFormat/>
    <w:rsid w:val="00C9104F"/>
    <w:pPr>
      <w:keepNext/>
      <w:keepLines/>
      <w:pBdr>
        <w:bottom w:val="single" w:sz="4" w:space="1" w:color="auto"/>
      </w:pBdr>
      <w:spacing w:before="480"/>
      <w:outlineLvl w:val="0"/>
    </w:pPr>
    <w:rPr>
      <w:rFonts w:asciiTheme="majorHAnsi" w:eastAsiaTheme="majorEastAsia" w:hAnsiTheme="majorHAnsi" w:cstheme="majorBidi"/>
      <w:b/>
      <w:bCs/>
      <w:color w:val="660066"/>
      <w:sz w:val="32"/>
      <w:szCs w:val="32"/>
    </w:rPr>
  </w:style>
  <w:style w:type="paragraph" w:styleId="Titre2">
    <w:name w:val="heading 2"/>
    <w:basedOn w:val="Normal"/>
    <w:next w:val="Normal"/>
    <w:link w:val="Titre2Car"/>
    <w:uiPriority w:val="9"/>
    <w:unhideWhenUsed/>
    <w:qFormat/>
    <w:rsid w:val="00F805F7"/>
    <w:pPr>
      <w:keepNext/>
      <w:keepLines/>
      <w:spacing w:before="200"/>
      <w:outlineLvl w:val="1"/>
    </w:pPr>
    <w:rPr>
      <w:rFonts w:asciiTheme="majorHAnsi" w:eastAsiaTheme="majorEastAsia" w:hAnsiTheme="majorHAnsi" w:cstheme="majorBidi"/>
      <w:b/>
      <w:bCs/>
      <w:color w:val="148062"/>
      <w:sz w:val="32"/>
      <w:szCs w:val="26"/>
    </w:rPr>
  </w:style>
  <w:style w:type="paragraph" w:styleId="Titre6">
    <w:name w:val="heading 6"/>
    <w:basedOn w:val="Normal"/>
    <w:next w:val="Normal"/>
    <w:link w:val="Titre6Car"/>
    <w:uiPriority w:val="9"/>
    <w:semiHidden/>
    <w:unhideWhenUsed/>
    <w:qFormat/>
    <w:rsid w:val="00511CF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semiHidden/>
    <w:unhideWhenUsed/>
  </w:style>
  <w:style w:type="table" w:default="1" w:styleId="TableauNormal">
    <w:name w:val="Normal Table"/>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character" w:customStyle="1" w:styleId="Titre1Car">
    <w:name w:val="Titre 1 Car"/>
    <w:basedOn w:val="Policepardfaut"/>
    <w:link w:val="Titre1"/>
    <w:uiPriority w:val="9"/>
    <w:rsid w:val="00C9104F"/>
    <w:rPr>
      <w:rFonts w:asciiTheme="majorHAnsi" w:eastAsiaTheme="majorEastAsia" w:hAnsiTheme="majorHAnsi" w:cstheme="majorBidi"/>
      <w:b/>
      <w:bCs/>
      <w:color w:val="660066"/>
      <w:sz w:val="32"/>
      <w:szCs w:val="32"/>
    </w:rPr>
  </w:style>
  <w:style w:type="paragraph" w:styleId="Textedebulles">
    <w:name w:val="Balloon Text"/>
    <w:basedOn w:val="Normal"/>
    <w:link w:val="TextedebullesCar"/>
    <w:uiPriority w:val="99"/>
    <w:semiHidden/>
    <w:unhideWhenUsed/>
    <w:rsid w:val="000D19A6"/>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D19A6"/>
    <w:rPr>
      <w:rFonts w:ascii="Lucida Grande" w:hAnsi="Lucida Grande" w:cs="Lucida Grande"/>
      <w:sz w:val="18"/>
      <w:szCs w:val="18"/>
    </w:rPr>
  </w:style>
  <w:style w:type="paragraph" w:styleId="Paragraphedeliste">
    <w:name w:val="List Paragraph"/>
    <w:basedOn w:val="Normal"/>
    <w:uiPriority w:val="34"/>
    <w:qFormat/>
    <w:rsid w:val="00912D3F"/>
    <w:pPr>
      <w:ind w:left="720"/>
      <w:contextualSpacing/>
    </w:pPr>
  </w:style>
  <w:style w:type="paragraph" w:styleId="Notedebasdepage">
    <w:name w:val="footnote text"/>
    <w:basedOn w:val="Normal"/>
    <w:link w:val="NotedebasdepageCar"/>
    <w:uiPriority w:val="99"/>
    <w:unhideWhenUsed/>
    <w:rsid w:val="00915C66"/>
  </w:style>
  <w:style w:type="character" w:customStyle="1" w:styleId="NotedebasdepageCar">
    <w:name w:val="Note de bas de page Car"/>
    <w:basedOn w:val="Policepardfaut"/>
    <w:link w:val="Notedebasdepage"/>
    <w:uiPriority w:val="99"/>
    <w:rsid w:val="00915C66"/>
  </w:style>
  <w:style w:type="character" w:styleId="Marquenotebasdepage">
    <w:name w:val="footnote reference"/>
    <w:basedOn w:val="Policepardfaut"/>
    <w:uiPriority w:val="99"/>
    <w:unhideWhenUsed/>
    <w:rsid w:val="00915C66"/>
    <w:rPr>
      <w:vertAlign w:val="superscript"/>
    </w:rPr>
  </w:style>
  <w:style w:type="paragraph" w:styleId="Notedefin">
    <w:name w:val="endnote text"/>
    <w:basedOn w:val="Normal"/>
    <w:link w:val="NotedefinCar"/>
    <w:uiPriority w:val="99"/>
    <w:unhideWhenUsed/>
    <w:rsid w:val="00881A63"/>
  </w:style>
  <w:style w:type="character" w:customStyle="1" w:styleId="NotedefinCar">
    <w:name w:val="Note de fin Car"/>
    <w:basedOn w:val="Policepardfaut"/>
    <w:link w:val="Notedefin"/>
    <w:uiPriority w:val="99"/>
    <w:rsid w:val="00881A63"/>
  </w:style>
  <w:style w:type="character" w:styleId="Marquedenotedefin">
    <w:name w:val="endnote reference"/>
    <w:basedOn w:val="Policepardfaut"/>
    <w:uiPriority w:val="99"/>
    <w:unhideWhenUsed/>
    <w:rsid w:val="00881A63"/>
    <w:rPr>
      <w:vertAlign w:val="superscript"/>
    </w:rPr>
  </w:style>
  <w:style w:type="character" w:customStyle="1" w:styleId="Titre2Car">
    <w:name w:val="Titre 2 Car"/>
    <w:basedOn w:val="Policepardfaut"/>
    <w:link w:val="Titre2"/>
    <w:uiPriority w:val="9"/>
    <w:rsid w:val="00F805F7"/>
    <w:rPr>
      <w:rFonts w:asciiTheme="majorHAnsi" w:eastAsiaTheme="majorEastAsia" w:hAnsiTheme="majorHAnsi" w:cstheme="majorBidi"/>
      <w:b/>
      <w:bCs/>
      <w:color w:val="148062"/>
      <w:sz w:val="32"/>
      <w:szCs w:val="26"/>
    </w:rPr>
  </w:style>
  <w:style w:type="character" w:styleId="Lienhypertexte">
    <w:name w:val="Hyperlink"/>
    <w:basedOn w:val="Policepardfaut"/>
    <w:uiPriority w:val="99"/>
    <w:unhideWhenUsed/>
    <w:rsid w:val="00F805F7"/>
    <w:rPr>
      <w:color w:val="0000FF" w:themeColor="hyperlink"/>
      <w:u w:val="single"/>
    </w:rPr>
  </w:style>
  <w:style w:type="paragraph" w:styleId="En-tte">
    <w:name w:val="header"/>
    <w:basedOn w:val="Normal"/>
    <w:link w:val="En-tteCar"/>
    <w:uiPriority w:val="99"/>
    <w:unhideWhenUsed/>
    <w:rsid w:val="00295D2C"/>
    <w:pPr>
      <w:tabs>
        <w:tab w:val="center" w:pos="4536"/>
        <w:tab w:val="right" w:pos="9072"/>
      </w:tabs>
    </w:pPr>
  </w:style>
  <w:style w:type="character" w:customStyle="1" w:styleId="En-tteCar">
    <w:name w:val="En-tête Car"/>
    <w:basedOn w:val="Policepardfaut"/>
    <w:link w:val="En-tte"/>
    <w:uiPriority w:val="99"/>
    <w:rsid w:val="00295D2C"/>
  </w:style>
  <w:style w:type="paragraph" w:styleId="Pieddepage">
    <w:name w:val="footer"/>
    <w:basedOn w:val="Normal"/>
    <w:link w:val="PieddepageCar"/>
    <w:uiPriority w:val="99"/>
    <w:unhideWhenUsed/>
    <w:rsid w:val="00295D2C"/>
    <w:pPr>
      <w:tabs>
        <w:tab w:val="center" w:pos="4536"/>
        <w:tab w:val="right" w:pos="9072"/>
      </w:tabs>
    </w:pPr>
  </w:style>
  <w:style w:type="character" w:customStyle="1" w:styleId="PieddepageCar">
    <w:name w:val="Pied de page Car"/>
    <w:basedOn w:val="Policepardfaut"/>
    <w:link w:val="Pieddepage"/>
    <w:uiPriority w:val="99"/>
    <w:rsid w:val="00295D2C"/>
  </w:style>
  <w:style w:type="character" w:styleId="Numrodepage">
    <w:name w:val="page number"/>
    <w:basedOn w:val="Policepardfaut"/>
    <w:uiPriority w:val="99"/>
    <w:semiHidden/>
    <w:unhideWhenUsed/>
    <w:rsid w:val="00295D2C"/>
  </w:style>
  <w:style w:type="character" w:customStyle="1" w:styleId="apple-converted-space">
    <w:name w:val="apple-converted-space"/>
    <w:basedOn w:val="Policepardfaut"/>
    <w:rsid w:val="00B0699B"/>
  </w:style>
  <w:style w:type="paragraph" w:styleId="NormalWeb">
    <w:name w:val="Normal (Web)"/>
    <w:basedOn w:val="Normal"/>
    <w:uiPriority w:val="99"/>
    <w:unhideWhenUsed/>
    <w:rsid w:val="00B0699B"/>
    <w:pPr>
      <w:spacing w:before="100" w:beforeAutospacing="1" w:after="100" w:afterAutospacing="1"/>
    </w:pPr>
    <w:rPr>
      <w:rFonts w:ascii="Times New Roman" w:eastAsia="Times New Roman" w:hAnsi="Times New Roman" w:cs="Times New Roman"/>
      <w:lang w:val="fr-BE" w:eastAsia="fr-BE"/>
    </w:rPr>
  </w:style>
  <w:style w:type="character" w:styleId="lev">
    <w:name w:val="Strong"/>
    <w:basedOn w:val="Policepardfaut"/>
    <w:uiPriority w:val="22"/>
    <w:qFormat/>
    <w:rsid w:val="00B0699B"/>
    <w:rPr>
      <w:b/>
      <w:bCs/>
    </w:rPr>
  </w:style>
  <w:style w:type="paragraph" w:customStyle="1" w:styleId="encart">
    <w:name w:val="encart"/>
    <w:basedOn w:val="Normal"/>
    <w:rsid w:val="00B0699B"/>
    <w:pPr>
      <w:spacing w:before="100" w:beforeAutospacing="1" w:after="100" w:afterAutospacing="1"/>
    </w:pPr>
    <w:rPr>
      <w:rFonts w:ascii="Times New Roman" w:eastAsia="Times New Roman" w:hAnsi="Times New Roman" w:cs="Times New Roman"/>
      <w:lang w:val="fr-BE" w:eastAsia="fr-BE"/>
    </w:rPr>
  </w:style>
  <w:style w:type="character" w:customStyle="1" w:styleId="restitle">
    <w:name w:val="restitle"/>
    <w:basedOn w:val="Policepardfaut"/>
    <w:rsid w:val="00AA6207"/>
  </w:style>
  <w:style w:type="character" w:customStyle="1" w:styleId="shortsearch">
    <w:name w:val="shortsearch"/>
    <w:basedOn w:val="Policepardfaut"/>
    <w:rsid w:val="00AA6207"/>
  </w:style>
  <w:style w:type="character" w:customStyle="1" w:styleId="resdate">
    <w:name w:val="resdate"/>
    <w:basedOn w:val="Policepardfaut"/>
    <w:rsid w:val="00AA6207"/>
  </w:style>
  <w:style w:type="character" w:customStyle="1" w:styleId="resstats">
    <w:name w:val="resstats"/>
    <w:basedOn w:val="Policepardfaut"/>
    <w:rsid w:val="00AA6207"/>
  </w:style>
  <w:style w:type="character" w:customStyle="1" w:styleId="label">
    <w:name w:val="label"/>
    <w:basedOn w:val="Policepardfaut"/>
    <w:rsid w:val="00AA6207"/>
  </w:style>
  <w:style w:type="character" w:styleId="Lienhypertextesuivi">
    <w:name w:val="FollowedHyperlink"/>
    <w:basedOn w:val="Policepardfaut"/>
    <w:uiPriority w:val="99"/>
    <w:semiHidden/>
    <w:unhideWhenUsed/>
    <w:rsid w:val="00A378E6"/>
    <w:rPr>
      <w:color w:val="800080" w:themeColor="followedHyperlink"/>
      <w:u w:val="single"/>
    </w:rPr>
  </w:style>
  <w:style w:type="character" w:customStyle="1" w:styleId="Titre6Car">
    <w:name w:val="Titre 6 Car"/>
    <w:basedOn w:val="Policepardfaut"/>
    <w:link w:val="Titre6"/>
    <w:uiPriority w:val="9"/>
    <w:semiHidden/>
    <w:rsid w:val="00511CF9"/>
    <w:rPr>
      <w:rFonts w:asciiTheme="majorHAnsi" w:eastAsiaTheme="majorEastAsia" w:hAnsiTheme="majorHAnsi" w:cstheme="majorBidi"/>
      <w:i/>
      <w:iCs/>
      <w:color w:val="243F60" w:themeColor="accent1" w:themeShade="7F"/>
    </w:rPr>
  </w:style>
  <w:style w:type="character" w:styleId="Accentuation">
    <w:name w:val="Emphasis"/>
    <w:basedOn w:val="Policepardfaut"/>
    <w:uiPriority w:val="20"/>
    <w:qFormat/>
    <w:rsid w:val="00511CF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autoRedefine/>
    <w:uiPriority w:val="9"/>
    <w:qFormat/>
    <w:rsid w:val="00C9104F"/>
    <w:pPr>
      <w:keepNext/>
      <w:keepLines/>
      <w:pBdr>
        <w:bottom w:val="single" w:sz="4" w:space="1" w:color="auto"/>
      </w:pBdr>
      <w:spacing w:before="480"/>
      <w:outlineLvl w:val="0"/>
    </w:pPr>
    <w:rPr>
      <w:rFonts w:asciiTheme="majorHAnsi" w:eastAsiaTheme="majorEastAsia" w:hAnsiTheme="majorHAnsi" w:cstheme="majorBidi"/>
      <w:b/>
      <w:bCs/>
      <w:color w:val="660066"/>
      <w:sz w:val="32"/>
      <w:szCs w:val="32"/>
    </w:rPr>
  </w:style>
  <w:style w:type="paragraph" w:styleId="Titre2">
    <w:name w:val="heading 2"/>
    <w:basedOn w:val="Normal"/>
    <w:next w:val="Normal"/>
    <w:link w:val="Titre2Car"/>
    <w:uiPriority w:val="9"/>
    <w:unhideWhenUsed/>
    <w:qFormat/>
    <w:rsid w:val="00F805F7"/>
    <w:pPr>
      <w:keepNext/>
      <w:keepLines/>
      <w:spacing w:before="200"/>
      <w:outlineLvl w:val="1"/>
    </w:pPr>
    <w:rPr>
      <w:rFonts w:asciiTheme="majorHAnsi" w:eastAsiaTheme="majorEastAsia" w:hAnsiTheme="majorHAnsi" w:cstheme="majorBidi"/>
      <w:b/>
      <w:bCs/>
      <w:color w:val="148062"/>
      <w:sz w:val="32"/>
      <w:szCs w:val="26"/>
    </w:rPr>
  </w:style>
  <w:style w:type="paragraph" w:styleId="Titre6">
    <w:name w:val="heading 6"/>
    <w:basedOn w:val="Normal"/>
    <w:next w:val="Normal"/>
    <w:link w:val="Titre6Car"/>
    <w:uiPriority w:val="9"/>
    <w:semiHidden/>
    <w:unhideWhenUsed/>
    <w:qFormat/>
    <w:rsid w:val="00511CF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9104F"/>
    <w:rPr>
      <w:rFonts w:asciiTheme="majorHAnsi" w:eastAsiaTheme="majorEastAsia" w:hAnsiTheme="majorHAnsi" w:cstheme="majorBidi"/>
      <w:b/>
      <w:bCs/>
      <w:color w:val="660066"/>
      <w:sz w:val="32"/>
      <w:szCs w:val="32"/>
    </w:rPr>
  </w:style>
  <w:style w:type="paragraph" w:styleId="Textedebulles">
    <w:name w:val="Balloon Text"/>
    <w:basedOn w:val="Normal"/>
    <w:link w:val="TextedebullesCar"/>
    <w:uiPriority w:val="99"/>
    <w:semiHidden/>
    <w:unhideWhenUsed/>
    <w:rsid w:val="000D19A6"/>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D19A6"/>
    <w:rPr>
      <w:rFonts w:ascii="Lucida Grande" w:hAnsi="Lucida Grande" w:cs="Lucida Grande"/>
      <w:sz w:val="18"/>
      <w:szCs w:val="18"/>
    </w:rPr>
  </w:style>
  <w:style w:type="paragraph" w:styleId="Paragraphedeliste">
    <w:name w:val="List Paragraph"/>
    <w:basedOn w:val="Normal"/>
    <w:uiPriority w:val="34"/>
    <w:qFormat/>
    <w:rsid w:val="00912D3F"/>
    <w:pPr>
      <w:ind w:left="720"/>
      <w:contextualSpacing/>
    </w:pPr>
  </w:style>
  <w:style w:type="paragraph" w:styleId="Notedebasdepage">
    <w:name w:val="footnote text"/>
    <w:basedOn w:val="Normal"/>
    <w:link w:val="NotedebasdepageCar"/>
    <w:uiPriority w:val="99"/>
    <w:unhideWhenUsed/>
    <w:rsid w:val="00915C66"/>
  </w:style>
  <w:style w:type="character" w:customStyle="1" w:styleId="NotedebasdepageCar">
    <w:name w:val="Note de bas de page Car"/>
    <w:basedOn w:val="Policepardfaut"/>
    <w:link w:val="Notedebasdepage"/>
    <w:uiPriority w:val="99"/>
    <w:rsid w:val="00915C66"/>
  </w:style>
  <w:style w:type="character" w:styleId="Appelnotedebasdep">
    <w:name w:val="footnote reference"/>
    <w:basedOn w:val="Policepardfaut"/>
    <w:uiPriority w:val="99"/>
    <w:unhideWhenUsed/>
    <w:rsid w:val="00915C66"/>
    <w:rPr>
      <w:vertAlign w:val="superscript"/>
    </w:rPr>
  </w:style>
  <w:style w:type="paragraph" w:styleId="Notedefin">
    <w:name w:val="endnote text"/>
    <w:basedOn w:val="Normal"/>
    <w:link w:val="NotedefinCar"/>
    <w:uiPriority w:val="99"/>
    <w:unhideWhenUsed/>
    <w:rsid w:val="00881A63"/>
  </w:style>
  <w:style w:type="character" w:customStyle="1" w:styleId="NotedefinCar">
    <w:name w:val="Note de fin Car"/>
    <w:basedOn w:val="Policepardfaut"/>
    <w:link w:val="Notedefin"/>
    <w:uiPriority w:val="99"/>
    <w:rsid w:val="00881A63"/>
  </w:style>
  <w:style w:type="character" w:styleId="Appeldenotedefin">
    <w:name w:val="endnote reference"/>
    <w:basedOn w:val="Policepardfaut"/>
    <w:uiPriority w:val="99"/>
    <w:unhideWhenUsed/>
    <w:rsid w:val="00881A63"/>
    <w:rPr>
      <w:vertAlign w:val="superscript"/>
    </w:rPr>
  </w:style>
  <w:style w:type="character" w:customStyle="1" w:styleId="Titre2Car">
    <w:name w:val="Titre 2 Car"/>
    <w:basedOn w:val="Policepardfaut"/>
    <w:link w:val="Titre2"/>
    <w:uiPriority w:val="9"/>
    <w:rsid w:val="00F805F7"/>
    <w:rPr>
      <w:rFonts w:asciiTheme="majorHAnsi" w:eastAsiaTheme="majorEastAsia" w:hAnsiTheme="majorHAnsi" w:cstheme="majorBidi"/>
      <w:b/>
      <w:bCs/>
      <w:color w:val="148062"/>
      <w:sz w:val="32"/>
      <w:szCs w:val="26"/>
    </w:rPr>
  </w:style>
  <w:style w:type="character" w:styleId="Lienhypertexte">
    <w:name w:val="Hyperlink"/>
    <w:basedOn w:val="Policepardfaut"/>
    <w:uiPriority w:val="99"/>
    <w:unhideWhenUsed/>
    <w:rsid w:val="00F805F7"/>
    <w:rPr>
      <w:color w:val="0000FF" w:themeColor="hyperlink"/>
      <w:u w:val="single"/>
    </w:rPr>
  </w:style>
  <w:style w:type="paragraph" w:styleId="En-tte">
    <w:name w:val="header"/>
    <w:basedOn w:val="Normal"/>
    <w:link w:val="En-tteCar"/>
    <w:uiPriority w:val="99"/>
    <w:unhideWhenUsed/>
    <w:rsid w:val="00295D2C"/>
    <w:pPr>
      <w:tabs>
        <w:tab w:val="center" w:pos="4536"/>
        <w:tab w:val="right" w:pos="9072"/>
      </w:tabs>
    </w:pPr>
  </w:style>
  <w:style w:type="character" w:customStyle="1" w:styleId="En-tteCar">
    <w:name w:val="En-tête Car"/>
    <w:basedOn w:val="Policepardfaut"/>
    <w:link w:val="En-tte"/>
    <w:uiPriority w:val="99"/>
    <w:rsid w:val="00295D2C"/>
  </w:style>
  <w:style w:type="paragraph" w:styleId="Pieddepage">
    <w:name w:val="footer"/>
    <w:basedOn w:val="Normal"/>
    <w:link w:val="PieddepageCar"/>
    <w:uiPriority w:val="99"/>
    <w:unhideWhenUsed/>
    <w:rsid w:val="00295D2C"/>
    <w:pPr>
      <w:tabs>
        <w:tab w:val="center" w:pos="4536"/>
        <w:tab w:val="right" w:pos="9072"/>
      </w:tabs>
    </w:pPr>
  </w:style>
  <w:style w:type="character" w:customStyle="1" w:styleId="PieddepageCar">
    <w:name w:val="Pied de page Car"/>
    <w:basedOn w:val="Policepardfaut"/>
    <w:link w:val="Pieddepage"/>
    <w:uiPriority w:val="99"/>
    <w:rsid w:val="00295D2C"/>
  </w:style>
  <w:style w:type="character" w:styleId="Numrodepage">
    <w:name w:val="page number"/>
    <w:basedOn w:val="Policepardfaut"/>
    <w:uiPriority w:val="99"/>
    <w:semiHidden/>
    <w:unhideWhenUsed/>
    <w:rsid w:val="00295D2C"/>
  </w:style>
  <w:style w:type="character" w:customStyle="1" w:styleId="apple-converted-space">
    <w:name w:val="apple-converted-space"/>
    <w:basedOn w:val="Policepardfaut"/>
    <w:rsid w:val="00B0699B"/>
  </w:style>
  <w:style w:type="paragraph" w:styleId="NormalWeb">
    <w:name w:val="Normal (Web)"/>
    <w:basedOn w:val="Normal"/>
    <w:uiPriority w:val="99"/>
    <w:unhideWhenUsed/>
    <w:rsid w:val="00B0699B"/>
    <w:pPr>
      <w:spacing w:before="100" w:beforeAutospacing="1" w:after="100" w:afterAutospacing="1"/>
    </w:pPr>
    <w:rPr>
      <w:rFonts w:ascii="Times New Roman" w:eastAsia="Times New Roman" w:hAnsi="Times New Roman" w:cs="Times New Roman"/>
      <w:lang w:val="fr-BE" w:eastAsia="fr-BE"/>
    </w:rPr>
  </w:style>
  <w:style w:type="character" w:styleId="lev">
    <w:name w:val="Strong"/>
    <w:basedOn w:val="Policepardfaut"/>
    <w:uiPriority w:val="22"/>
    <w:qFormat/>
    <w:rsid w:val="00B0699B"/>
    <w:rPr>
      <w:b/>
      <w:bCs/>
    </w:rPr>
  </w:style>
  <w:style w:type="paragraph" w:customStyle="1" w:styleId="encart">
    <w:name w:val="encart"/>
    <w:basedOn w:val="Normal"/>
    <w:rsid w:val="00B0699B"/>
    <w:pPr>
      <w:spacing w:before="100" w:beforeAutospacing="1" w:after="100" w:afterAutospacing="1"/>
    </w:pPr>
    <w:rPr>
      <w:rFonts w:ascii="Times New Roman" w:eastAsia="Times New Roman" w:hAnsi="Times New Roman" w:cs="Times New Roman"/>
      <w:lang w:val="fr-BE" w:eastAsia="fr-BE"/>
    </w:rPr>
  </w:style>
  <w:style w:type="character" w:customStyle="1" w:styleId="restitle">
    <w:name w:val="restitle"/>
    <w:basedOn w:val="Policepardfaut"/>
    <w:rsid w:val="00AA6207"/>
  </w:style>
  <w:style w:type="character" w:customStyle="1" w:styleId="shortsearch">
    <w:name w:val="shortsearch"/>
    <w:basedOn w:val="Policepardfaut"/>
    <w:rsid w:val="00AA6207"/>
  </w:style>
  <w:style w:type="character" w:customStyle="1" w:styleId="resdate">
    <w:name w:val="resdate"/>
    <w:basedOn w:val="Policepardfaut"/>
    <w:rsid w:val="00AA6207"/>
  </w:style>
  <w:style w:type="character" w:customStyle="1" w:styleId="resstats">
    <w:name w:val="resstats"/>
    <w:basedOn w:val="Policepardfaut"/>
    <w:rsid w:val="00AA6207"/>
  </w:style>
  <w:style w:type="character" w:customStyle="1" w:styleId="label">
    <w:name w:val="label"/>
    <w:basedOn w:val="Policepardfaut"/>
    <w:rsid w:val="00AA6207"/>
  </w:style>
  <w:style w:type="character" w:styleId="Lienhypertextesuivivisit">
    <w:name w:val="FollowedHyperlink"/>
    <w:basedOn w:val="Policepardfaut"/>
    <w:uiPriority w:val="99"/>
    <w:semiHidden/>
    <w:unhideWhenUsed/>
    <w:rsid w:val="00A378E6"/>
    <w:rPr>
      <w:color w:val="800080" w:themeColor="followedHyperlink"/>
      <w:u w:val="single"/>
    </w:rPr>
  </w:style>
  <w:style w:type="character" w:customStyle="1" w:styleId="Titre6Car">
    <w:name w:val="Titre 6 Car"/>
    <w:basedOn w:val="Policepardfaut"/>
    <w:link w:val="Titre6"/>
    <w:uiPriority w:val="9"/>
    <w:semiHidden/>
    <w:rsid w:val="00511CF9"/>
    <w:rPr>
      <w:rFonts w:asciiTheme="majorHAnsi" w:eastAsiaTheme="majorEastAsia" w:hAnsiTheme="majorHAnsi" w:cstheme="majorBidi"/>
      <w:i/>
      <w:iCs/>
      <w:color w:val="243F60" w:themeColor="accent1" w:themeShade="7F"/>
    </w:rPr>
  </w:style>
  <w:style w:type="character" w:styleId="Accentuation">
    <w:name w:val="Emphasis"/>
    <w:basedOn w:val="Policepardfaut"/>
    <w:uiPriority w:val="20"/>
    <w:qFormat/>
    <w:rsid w:val="00511CF9"/>
    <w:rPr>
      <w:i/>
      <w:iCs/>
    </w:rPr>
  </w:style>
</w:styles>
</file>

<file path=word/webSettings.xml><?xml version="1.0" encoding="utf-8"?>
<w:webSettings xmlns:r="http://schemas.openxmlformats.org/officeDocument/2006/relationships" xmlns:w="http://schemas.openxmlformats.org/wordprocessingml/2006/main">
  <w:divs>
    <w:div w:id="266347789">
      <w:bodyDiv w:val="1"/>
      <w:marLeft w:val="0"/>
      <w:marRight w:val="0"/>
      <w:marTop w:val="0"/>
      <w:marBottom w:val="0"/>
      <w:divBdr>
        <w:top w:val="none" w:sz="0" w:space="0" w:color="auto"/>
        <w:left w:val="none" w:sz="0" w:space="0" w:color="auto"/>
        <w:bottom w:val="none" w:sz="0" w:space="0" w:color="auto"/>
        <w:right w:val="none" w:sz="0" w:space="0" w:color="auto"/>
      </w:divBdr>
    </w:div>
    <w:div w:id="1457456010">
      <w:bodyDiv w:val="1"/>
      <w:marLeft w:val="0"/>
      <w:marRight w:val="0"/>
      <w:marTop w:val="0"/>
      <w:marBottom w:val="0"/>
      <w:divBdr>
        <w:top w:val="none" w:sz="0" w:space="0" w:color="auto"/>
        <w:left w:val="none" w:sz="0" w:space="0" w:color="auto"/>
        <w:bottom w:val="none" w:sz="0" w:space="0" w:color="auto"/>
        <w:right w:val="none" w:sz="0" w:space="0" w:color="auto"/>
      </w:divBdr>
      <w:divsChild>
        <w:div w:id="1592733655">
          <w:marLeft w:val="-225"/>
          <w:marRight w:val="-225"/>
          <w:marTop w:val="0"/>
          <w:marBottom w:val="0"/>
          <w:divBdr>
            <w:top w:val="none" w:sz="0" w:space="0" w:color="auto"/>
            <w:left w:val="none" w:sz="0" w:space="0" w:color="auto"/>
            <w:bottom w:val="none" w:sz="0" w:space="0" w:color="auto"/>
            <w:right w:val="none" w:sz="0" w:space="0" w:color="auto"/>
          </w:divBdr>
          <w:divsChild>
            <w:div w:id="1750078631">
              <w:marLeft w:val="0"/>
              <w:marRight w:val="0"/>
              <w:marTop w:val="0"/>
              <w:marBottom w:val="0"/>
              <w:divBdr>
                <w:top w:val="none" w:sz="0" w:space="0" w:color="auto"/>
                <w:left w:val="none" w:sz="0" w:space="0" w:color="auto"/>
                <w:bottom w:val="none" w:sz="0" w:space="0" w:color="auto"/>
                <w:right w:val="none" w:sz="0" w:space="0" w:color="auto"/>
              </w:divBdr>
            </w:div>
          </w:divsChild>
        </w:div>
        <w:div w:id="796070217">
          <w:marLeft w:val="-225"/>
          <w:marRight w:val="-225"/>
          <w:marTop w:val="0"/>
          <w:marBottom w:val="0"/>
          <w:divBdr>
            <w:top w:val="none" w:sz="0" w:space="0" w:color="auto"/>
            <w:left w:val="none" w:sz="0" w:space="0" w:color="auto"/>
            <w:bottom w:val="none" w:sz="0" w:space="0" w:color="auto"/>
            <w:right w:val="none" w:sz="0" w:space="0" w:color="auto"/>
          </w:divBdr>
          <w:divsChild>
            <w:div w:id="1355837943">
              <w:marLeft w:val="0"/>
              <w:marRight w:val="0"/>
              <w:marTop w:val="0"/>
              <w:marBottom w:val="0"/>
              <w:divBdr>
                <w:top w:val="none" w:sz="0" w:space="0" w:color="auto"/>
                <w:left w:val="none" w:sz="0" w:space="0" w:color="auto"/>
                <w:bottom w:val="none" w:sz="0" w:space="0" w:color="auto"/>
                <w:right w:val="none" w:sz="0" w:space="0" w:color="auto"/>
              </w:divBdr>
            </w:div>
          </w:divsChild>
        </w:div>
        <w:div w:id="1512799858">
          <w:marLeft w:val="-225"/>
          <w:marRight w:val="-225"/>
          <w:marTop w:val="0"/>
          <w:marBottom w:val="0"/>
          <w:divBdr>
            <w:top w:val="none" w:sz="0" w:space="0" w:color="auto"/>
            <w:left w:val="none" w:sz="0" w:space="0" w:color="auto"/>
            <w:bottom w:val="none" w:sz="0" w:space="0" w:color="auto"/>
            <w:right w:val="none" w:sz="0" w:space="0" w:color="auto"/>
          </w:divBdr>
          <w:divsChild>
            <w:div w:id="790519106">
              <w:marLeft w:val="0"/>
              <w:marRight w:val="0"/>
              <w:marTop w:val="0"/>
              <w:marBottom w:val="0"/>
              <w:divBdr>
                <w:top w:val="none" w:sz="0" w:space="0" w:color="auto"/>
                <w:left w:val="none" w:sz="0" w:space="0" w:color="auto"/>
                <w:bottom w:val="none" w:sz="0" w:space="0" w:color="auto"/>
                <w:right w:val="none" w:sz="0" w:space="0" w:color="auto"/>
              </w:divBdr>
            </w:div>
          </w:divsChild>
        </w:div>
        <w:div w:id="220867379">
          <w:marLeft w:val="-225"/>
          <w:marRight w:val="-225"/>
          <w:marTop w:val="0"/>
          <w:marBottom w:val="0"/>
          <w:divBdr>
            <w:top w:val="none" w:sz="0" w:space="0" w:color="auto"/>
            <w:left w:val="none" w:sz="0" w:space="0" w:color="auto"/>
            <w:bottom w:val="none" w:sz="0" w:space="0" w:color="auto"/>
            <w:right w:val="none" w:sz="0" w:space="0" w:color="auto"/>
          </w:divBdr>
          <w:divsChild>
            <w:div w:id="204945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43755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dx.doi.org/10.4161%2Ftisb.27321" TargetMode="External"/><Relationship Id="rId14" Type="http://schemas.openxmlformats.org/officeDocument/2006/relationships/hyperlink" Target="https://en.wikipedia.org/wiki/PubMed_Identifier" TargetMode="External"/><Relationship Id="rId15" Type="http://schemas.openxmlformats.org/officeDocument/2006/relationships/hyperlink" Target="https://www.ncbi.nlm.nih.gov/pubmed/24868498" TargetMode="External"/><Relationship Id="rId16" Type="http://schemas.openxmlformats.org/officeDocument/2006/relationships/hyperlink" Target="https://en.wikipedia.org/wiki/Digital_object_identifier" TargetMode="External"/><Relationship Id="rId17" Type="http://schemas.openxmlformats.org/officeDocument/2006/relationships/hyperlink" Target="https://dx.doi.org/10.1152%2Fphysrev.00003.2008" TargetMode="External"/><Relationship Id="rId18" Type="http://schemas.openxmlformats.org/officeDocument/2006/relationships/hyperlink" Target="https://en.wikipedia.org/wiki/PubMed_Identifier" TargetMode="External"/><Relationship Id="rId19" Type="http://schemas.openxmlformats.org/officeDocument/2006/relationships/hyperlink" Target="https://www.ncbi.nlm.nih.gov/pubmed/21248165" TargetMode="External"/><Relationship Id="rId63" Type="http://schemas.openxmlformats.org/officeDocument/2006/relationships/theme" Target="theme/theme1.xml"/><Relationship Id="rId50" Type="http://schemas.openxmlformats.org/officeDocument/2006/relationships/image" Target="media/image7.jpeg"/><Relationship Id="rId51" Type="http://schemas.openxmlformats.org/officeDocument/2006/relationships/image" Target="media/image8.jpeg"/><Relationship Id="rId52" Type="http://schemas.openxmlformats.org/officeDocument/2006/relationships/image" Target="media/image9.jpeg"/><Relationship Id="rId53" Type="http://schemas.openxmlformats.org/officeDocument/2006/relationships/image" Target="media/image10.jpeg"/><Relationship Id="rId54" Type="http://schemas.openxmlformats.org/officeDocument/2006/relationships/hyperlink" Target="https://www.vanvlodorp-nutrition.be/pierre-van-vlodorp/" TargetMode="External"/><Relationship Id="rId55" Type="http://schemas.openxmlformats.org/officeDocument/2006/relationships/hyperlink" Target="http://www.ncbi.nlm.nih.gov/pubmed/?term=Allen%20NE%5BAuthor%5D&amp;cauthor=true&amp;cauthor_uid=18382426" TargetMode="External"/><Relationship Id="rId56" Type="http://schemas.openxmlformats.org/officeDocument/2006/relationships/image" Target="media/image11.jpeg"/><Relationship Id="rId57" Type="http://schemas.openxmlformats.org/officeDocument/2006/relationships/hyperlink" Target="mailto:info@udnf.be" TargetMode="External"/><Relationship Id="rId58" Type="http://schemas.openxmlformats.org/officeDocument/2006/relationships/image" Target="media/image12.png"/><Relationship Id="rId59" Type="http://schemas.openxmlformats.org/officeDocument/2006/relationships/footer" Target="footer1.xml"/><Relationship Id="rId40" Type="http://schemas.openxmlformats.org/officeDocument/2006/relationships/hyperlink" Target="https://en.wikipedia.org/wiki/International_Standard_Serial_Number" TargetMode="External"/><Relationship Id="rId41" Type="http://schemas.openxmlformats.org/officeDocument/2006/relationships/hyperlink" Target="https://www.worldcat.org/issn/0031-9333" TargetMode="External"/><Relationship Id="rId42" Type="http://schemas.openxmlformats.org/officeDocument/2006/relationships/hyperlink" Target="https://en.wikipedia.org/wiki/PubMed_Identifier" TargetMode="External"/><Relationship Id="rId43" Type="http://schemas.openxmlformats.org/officeDocument/2006/relationships/hyperlink" Target="https://www.ncbi.nlm.nih.gov/pubmed/21248165" TargetMode="External"/><Relationship Id="rId44" Type="http://schemas.openxmlformats.org/officeDocument/2006/relationships/hyperlink" Target="https://en.wikipedia.org/wiki/Digital_object_identifier" TargetMode="External"/><Relationship Id="rId45" Type="http://schemas.openxmlformats.org/officeDocument/2006/relationships/hyperlink" Target="https://dx.doi.org/10.1517%2F17425247.2013.745509" TargetMode="External"/><Relationship Id="rId46" Type="http://schemas.openxmlformats.org/officeDocument/2006/relationships/hyperlink" Target="https://en.wikipedia.org/wiki/PubMed_Identifier" TargetMode="External"/><Relationship Id="rId47" Type="http://schemas.openxmlformats.org/officeDocument/2006/relationships/hyperlink" Target="https://www.ncbi.nlm.nih.gov/pubmed/23163247" TargetMode="External"/><Relationship Id="rId48" Type="http://schemas.openxmlformats.org/officeDocument/2006/relationships/hyperlink" Target="http://www.prnewswire.com/news-releases/alba-therapeutics-announces-positive-results-of-phase-iib-trial-in-celiac-disease-244877451.html" TargetMode="External"/><Relationship Id="rId49" Type="http://schemas.openxmlformats.org/officeDocument/2006/relationships/image" Target="media/image6.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jpeg"/><Relationship Id="rId30" Type="http://schemas.openxmlformats.org/officeDocument/2006/relationships/hyperlink" Target="https://dx.doi.org/10.1111%2Fj.1749-6632.2009.04037.x" TargetMode="External"/><Relationship Id="rId31" Type="http://schemas.openxmlformats.org/officeDocument/2006/relationships/hyperlink" Target="https://en.wikipedia.org/wiki/International_Standard_Serial_Number" TargetMode="External"/><Relationship Id="rId32" Type="http://schemas.openxmlformats.org/officeDocument/2006/relationships/hyperlink" Target="https://www.worldcat.org/issn/0077-8923" TargetMode="External"/><Relationship Id="rId33" Type="http://schemas.openxmlformats.org/officeDocument/2006/relationships/hyperlink" Target="https://en.wikipedia.org/wiki/PubMed_Central" TargetMode="External"/><Relationship Id="rId34" Type="http://schemas.openxmlformats.org/officeDocument/2006/relationships/hyperlink" Target="https://www.ncbi.nlm.nih.gov/pmc/articles/PMC2886850" TargetMode="External"/><Relationship Id="rId35" Type="http://schemas.openxmlformats.org/officeDocument/2006/relationships/hyperlink" Target="https://en.wikipedia.org/wiki/PubMed_Identifier" TargetMode="External"/><Relationship Id="rId36" Type="http://schemas.openxmlformats.org/officeDocument/2006/relationships/hyperlink" Target="https://www.ncbi.nlm.nih.gov/pubmed/19538307" TargetMode="External"/><Relationship Id="rId37" Type="http://schemas.openxmlformats.org/officeDocument/2006/relationships/hyperlink" Target="http://physrev.physiology.org/content/91/1/151" TargetMode="External"/><Relationship Id="rId38" Type="http://schemas.openxmlformats.org/officeDocument/2006/relationships/hyperlink" Target="https://en.wikipedia.org/wiki/Digital_object_identifier" TargetMode="External"/><Relationship Id="rId39" Type="http://schemas.openxmlformats.org/officeDocument/2006/relationships/hyperlink" Target="https://dx.doi.org/10.1152%2Fphysrev.00003.2008" TargetMode="External"/><Relationship Id="rId20" Type="http://schemas.openxmlformats.org/officeDocument/2006/relationships/hyperlink" Target="https://www.ncbi.nlm.nih.gov/pmc/articles/PMC2653457" TargetMode="External"/><Relationship Id="rId21" Type="http://schemas.openxmlformats.org/officeDocument/2006/relationships/hyperlink" Target="https://en.wikipedia.org/wiki/Digital_object_identifier" TargetMode="External"/><Relationship Id="rId22" Type="http://schemas.openxmlformats.org/officeDocument/2006/relationships/hyperlink" Target="https://dx.doi.org/10.1053%2Fj.gastro.2008.03.023" TargetMode="External"/><Relationship Id="rId23" Type="http://schemas.openxmlformats.org/officeDocument/2006/relationships/hyperlink" Target="https://en.wikipedia.org/wiki/International_Standard_Serial_Number" TargetMode="External"/><Relationship Id="rId24" Type="http://schemas.openxmlformats.org/officeDocument/2006/relationships/hyperlink" Target="https://www.worldcat.org/issn/1528-0012" TargetMode="External"/><Relationship Id="rId25" Type="http://schemas.openxmlformats.org/officeDocument/2006/relationships/hyperlink" Target="https://en.wikipedia.org/wiki/PubMed_Central" TargetMode="External"/><Relationship Id="rId26" Type="http://schemas.openxmlformats.org/officeDocument/2006/relationships/hyperlink" Target="https://www.ncbi.nlm.nih.gov/pmc/articles/PMC2653457" TargetMode="External"/><Relationship Id="rId27" Type="http://schemas.openxmlformats.org/officeDocument/2006/relationships/hyperlink" Target="https://en.wikipedia.org/wiki/PubMed_Identifier" TargetMode="External"/><Relationship Id="rId28" Type="http://schemas.openxmlformats.org/officeDocument/2006/relationships/hyperlink" Target="https://www.ncbi.nlm.nih.gov/pubmed/18485912" TargetMode="External"/><Relationship Id="rId29" Type="http://schemas.openxmlformats.org/officeDocument/2006/relationships/hyperlink" Target="https://www.ncbi.nlm.nih.gov/pmc/articles/PMC2886850" TargetMode="External"/><Relationship Id="rId77" Type="http://schemas.microsoft.com/office/2007/relationships/stylesWithEffects" Target="stylesWithEffects.xml"/><Relationship Id="rId60" Type="http://schemas.openxmlformats.org/officeDocument/2006/relationships/footer" Target="footer2.xml"/><Relationship Id="rId61" Type="http://schemas.openxmlformats.org/officeDocument/2006/relationships/printerSettings" Target="printerSettings/printerSettings1.bin"/><Relationship Id="rId62" Type="http://schemas.openxmlformats.org/officeDocument/2006/relationships/fontTable" Target="fontTable.xml"/><Relationship Id="rId10" Type="http://schemas.openxmlformats.org/officeDocument/2006/relationships/image" Target="media/image4.jpeg"/><Relationship Id="rId11" Type="http://schemas.openxmlformats.org/officeDocument/2006/relationships/image" Target="media/image5.png"/><Relationship Id="rId12" Type="http://schemas.openxmlformats.org/officeDocument/2006/relationships/hyperlink" Target="https://en.wikipedia.org/wiki/Digital_object_identifier"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TotalTime>
  <Pages>15</Pages>
  <Words>5457</Words>
  <Characters>31106</Characters>
  <Application>Microsoft Macintosh Word</Application>
  <DocSecurity>0</DocSecurity>
  <Lines>259</Lines>
  <Paragraphs>62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Salomé</dc:creator>
  <cp:lastModifiedBy>Pierre Van vlodorp</cp:lastModifiedBy>
  <cp:revision>6</cp:revision>
  <cp:lastPrinted>2017-03-17T08:36:00Z</cp:lastPrinted>
  <dcterms:created xsi:type="dcterms:W3CDTF">2017-03-10T11:32:00Z</dcterms:created>
  <dcterms:modified xsi:type="dcterms:W3CDTF">2017-03-17T08:36:00Z</dcterms:modified>
</cp:coreProperties>
</file>